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r>
        <w:rPr>
          <w:b/>
        </w:rPr>
        <w:t>Gotländsk hättemossa (CR, §8)</w:t>
      </w:r>
      <w:r>
        <w:t xml:space="preserve"> är en mycket sällsynt och akut hotad art som är fridlyst och omfattas av EU:s art- och habitatdirektiv där dess bevarandestatus är dålig. Arten växer på rikbarksträd i ljusöppna miljöer och är i Sverige funnen på ek och Salix. Gotländsk hättemossa skiljs från andra arter i släktet främst på att tänderna i det inre peristomet står rakt upp istället för att böja sig något inåt. Avverkning av gamla alléer och lövträd på åkerholmar samt decimeringen av alm och ask i södra Sverige genom alm- och askskottsjukan utgör betydande hot mot arten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