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klagomål behandlar höga naturvärden i avverkningsanmälan A 11693-2025 i Kristianstads kommun som inkom 2025-03-11 och omfattar 2,2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6180111, E 443253 i SWEREF 99 TM.</w:t>
      </w:r>
    </w:p>
    <w:p>
      <w:r>
        <w:t>I och inom 24 meter från avverkningsanmälan finns fynd av 10 naturvårdsarter, varav 8 är rödlistade, 3 är typiska (T) och 2 är signalarter (S): blå lökspindling (VU), kejsarspindling (VU), nunnespindling (VU), själlandsspindling (VU), bokvårtlav (NT, T), cinnoberspindling (NT), rävspindling (NT), stiftklotterlav (NT, T), igelkottsröksvamp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lökspindling (VU) </w:t>
      </w:r>
      <w:r>
        <w:t>bildar mykorrhiza med bok i örtrik bokskog på kalkrik mark. Arten är en indikator på rik ängsbokskog som brukar innehålla en rad mycket sällsynta och rödlistade svamparter. Kända lokaler bör skyddas så att de inte riskerar att förstöras av skogliga åtgärder som gallring och/eller markberedning (SLU Artdatabanken, 2024).</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Nunnespindling (VU)</w:t>
      </w:r>
      <w:r>
        <w:t xml:space="preserve"> bildar mykorrhiza med bok i bokskog på kalkrik mark och förefaller vara knuten till ängsbokskogar med lång trädkontinuitet. Populationen bedöms som mycket liten och därmed känslig för alla typer av förändringar på dess fåtaliga växtplatser. Artens sällsynthet motiverar att alla kända lokaler skyddas (SLU Artdatabanken, 2026).</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