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43497-2025 i Kristianstads kommun</w:t>
      </w:r>
    </w:p>
    <w:p>
      <w:r>
        <w:t>Detta klagomål behandlar höga naturvärden i avverkningsanmälan A 43497-2025 i Kristianstads kommun som inkom 2025-09-11 och omfattar 3,0 ha.</w:t>
      </w:r>
    </w:p>
    <w:p>
      <w:pPr>
        <w:pStyle w:val="Caption"/>
      </w:pPr>
      <w:r>
        <w:drawing>
          <wp:inline xmlns:a="http://schemas.openxmlformats.org/drawingml/2006/main" xmlns:pic="http://schemas.openxmlformats.org/drawingml/2006/picture">
            <wp:extent cx="5486400" cy="4945918"/>
            <wp:docPr id="1" name="Picture 1"/>
            <wp:cNvGraphicFramePr>
              <a:graphicFrameLocks noChangeAspect="1"/>
            </wp:cNvGraphicFramePr>
            <a:graphic>
              <a:graphicData uri="http://schemas.openxmlformats.org/drawingml/2006/picture">
                <pic:pic>
                  <pic:nvPicPr>
                    <pic:cNvPr id="0" name="A 43497-2025 karta.png"/>
                    <pic:cNvPicPr/>
                  </pic:nvPicPr>
                  <pic:blipFill>
                    <a:blip r:embed="rId16"/>
                    <a:stretch>
                      <a:fillRect/>
                    </a:stretch>
                  </pic:blipFill>
                  <pic:spPr>
                    <a:xfrm>
                      <a:off x="0" y="0"/>
                      <a:ext cx="5486400" cy="494591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6196057, E 436326 i SWEREF 99 TM.</w:t>
      </w:r>
    </w:p>
    <w:p>
      <w:r>
        <w:t>I avverkningsanmälan finns fynd av 8 naturvårdsarter, varav 5 är rödlistade, 5 är typiska (T) och 3 är signalarter (S): bukspolsnäcka (VU), tandsnäcka (VU), bokvårtlav (NT, T), orangepudrad klotterlav (NT), skogsveronika (NT, T), platt fjädermossa (S, T), strutbräken (S, T) och trubbfjädermossa (S,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Bukspolsnäcka (VU)</w:t>
      </w:r>
      <w:r>
        <w:t xml:space="preserve"> förekommer framför allt i äldre ädellövskog med t.ex. ask, lind, bok och sälg, oftast på närings- och kalkrikt underlag. Ofta finns arten också i fuktiga raviner och vid den skuggiga basen av rasbranter. Den förekommer även i rika askskogskärr och mer sällsynt i fuktig, näringsrik ängsgranblandskog. Permanent rörligt ytvatten tycks vara en förutsättning. Tillgång på lågor är gynnsamt och arten kräver normalt trädkontinuitet, även om denna utgörs av ett mindre antal träd. På grund av artens stora känslighet och att populationerna ofta är små och geografiskt begränsade utgör alla typer av skogliga ingrepp på och nära artens lokaler direkta hot. Ingrepp (skogsdikning, körning med skogsmaskiner) som förändrar lokalernas hydrologi är allvarliga hot. Även uthuggning och blädning (gallring av fullvuxen skog), vilket förändrar lokalens skuggighet utgör hot. Områden med kända förekomster bör avsättas som reservat eller ges någon typ av skydd. Vid skogliga ingrepp i angränsande områden bör en skyddszon lämnas. Hydrologin i områden där arten förekommer får inte ändras genom dikning eller körning med skogsmaskiner och liknande (SLU Artdatabanken, 2026).</w:t>
      </w:r>
    </w:p>
    <w:p>
      <w:r>
        <w:rPr>
          <w:b/>
        </w:rPr>
        <w:t>Bokvårtlav (NT)</w:t>
      </w:r>
      <w:r>
        <w:t xml:space="preserve"> växer på barken av gamla bokar samt avenbok och är en bra signalart för skogsbestånd med höga naturvärden. Gamla bokskogar där laven förekommer i särskilt rikliga bestånd bör bevaras. Bokvårtlav är typisk art för </w:t>
      </w:r>
      <w:r>
        <w:rPr>
          <w:i/>
        </w:rPr>
        <w:t>9110 Näringsfattig bokskog, 9130 Näringsrik bokskog</w:t>
      </w:r>
      <w:r>
        <w:t xml:space="preserve"> och </w:t>
      </w:r>
      <w:r>
        <w:rPr>
          <w:i/>
        </w:rPr>
        <w:t>9160 Näringsrik ekskog</w:t>
      </w:r>
      <w:r>
        <w:t xml:space="preserve"> (SLU Artdatabanken, 2024; Nitare &amp; Skogsstyrelsen, 2019).</w:t>
      </w:r>
    </w:p>
    <w:p>
      <w:r>
        <w:rPr>
          <w:b/>
        </w:rPr>
        <w:t>Orangepudrad klotterlav (NT)</w:t>
      </w:r>
      <w:r>
        <w:t xml:space="preserve"> växer på ved och bark av bok, men även andra lövträd, i skogar och bryn med hög luftfuktighet. Arten förekommer mest i fuktiga och skuggiga, slutna skogar, raviner och branter, oftast på mycket gamla, helt eller delvis döda träd med blottad ved. Den kan även finnas på lite öppnare lokaler men är bunden till skog och lövängar med lång kontinuitet. I Mellansverige växer den i gamla ädellövsskogar med hög luftfuktighet vid basen av lövträd. Arten växer ofta tillsammans med flera andra rödlistade lavar. På lokaler med arten får inte ljus- och fuktighetsförhållanden ändras eller den skogliga kontinuiteten brytas (SLU Artdatabanken, 2026).</w:t>
      </w:r>
    </w:p>
    <w:p>
      <w:r>
        <w:rPr>
          <w:b/>
        </w:rPr>
        <w:t xml:space="preserve">Skogsveronika (NT) </w:t>
      </w:r>
      <w:r>
        <w:t xml:space="preserve">visar på genuina, rika ädellövskogar som under långa perioder varit trädbevuxna och länge bibehållit hög mark- och luftfuktighet. Samtliga förekomster indikerar exklusiva miljöer med höga naturvärden. Skogsveronika är typisk art för </w:t>
      </w:r>
      <w:r>
        <w:rPr>
          <w:i/>
        </w:rPr>
        <w:t>9130 Näringsrik bokskog</w:t>
      </w:r>
      <w:r>
        <w:t xml:space="preserve"> (Nitare &amp; Skogsstyrelsen, 2019).</w:t>
      </w:r>
    </w:p>
    <w:p>
      <w:r>
        <w:rPr>
          <w:b/>
        </w:rPr>
        <w:t xml:space="preserve">Platt fjädermossa </w:t>
      </w:r>
      <w:r>
        <w:t>växer på såväl trädstammar (särskilt bok och andra ädla lövträd) som klippor (helst basiska bergarter). Norrut förekommer den endast på basiska klippor. Rika förekomster och fynd med sporkapslar indikerar höga naturvärden och en artrik mossbiotop.</w:t>
      </w:r>
      <w:r>
        <w:rPr>
          <w:b/>
        </w:rPr>
        <w:t xml:space="preserve"> </w:t>
      </w:r>
      <w:r>
        <w:t xml:space="preserve">Platt fjädermossa är typisk art för </w:t>
      </w:r>
      <w:r>
        <w:rPr>
          <w:i/>
        </w:rPr>
        <w:t>9010 Taiga,</w:t>
      </w:r>
      <w:r>
        <w:t xml:space="preserve"> </w:t>
      </w:r>
      <w:r>
        <w:rPr>
          <w:i/>
        </w:rPr>
        <w:t>9020 Nordlig ädellövskog, 9110 Näringsfattig bokskog, 9130 Näringsrik bokskog, 9160 Näringsrik ekskog, 9180 Ädellövskog i branter</w:t>
      </w:r>
      <w:r>
        <w:t xml:space="preserve"> och</w:t>
      </w:r>
      <w:r>
        <w:rPr>
          <w:i/>
        </w:rPr>
        <w:t xml:space="preserve"> 9190 Näringsfattig ekskog </w:t>
      </w:r>
      <w:r>
        <w:t>(Nitare &amp; Skogsstyrelsen, 2019; SLU Artdatabanken, 2025).</w:t>
      </w:r>
    </w:p>
    <w:p>
      <w:r>
        <w:rPr>
          <w:b/>
        </w:rPr>
        <w:t xml:space="preserve">Strutbräken </w:t>
      </w:r>
      <w:r>
        <w:t xml:space="preserve">är normalt en mycket bra och tydlig signalart som visar på flera olika fuktiga biotoper med rörligt markvatten som nästan alltid har höga naturvärden. Den växer på skuggiga, fuktiga, näringsrika mullmarker längs bäckdalar, åar, älvar, översilade sluttningar med högörtsgranskog och svämlövskogar med kortvarigt översvämmade sedimentplan. Växtplatserna har ytligt rörligt markvatten och konstant hög luftfuktighet. Arten är känslig för avverkning och dikning.Strutbräken är typisk art för </w:t>
      </w:r>
      <w:r>
        <w:rPr>
          <w:i/>
        </w:rPr>
        <w:t xml:space="preserve">9050 Näringsrik granskog, 9080 Lövsumpskog, 9750 Svämlövskog, 9760 Svämädellövskog </w:t>
      </w:r>
      <w:r>
        <w:t>och</w:t>
      </w:r>
      <w:r>
        <w:rPr>
          <w:i/>
        </w:rPr>
        <w:t xml:space="preserve"> 6430 Högörtängar</w:t>
      </w:r>
      <w:r>
        <w:t xml:space="preserve"> (Nitare &amp; Skogsstyrelsen, 2019; SLU Artdatabanken, 2025).</w:t>
      </w:r>
    </w:p>
    <w:p>
      <w:r>
        <w:rPr>
          <w:b/>
        </w:rPr>
        <w:t>Trubbfjädermossa</w:t>
      </w:r>
      <w:r>
        <w:t xml:space="preserve"> signalerar vanligtvis skog med höga naturvärden och den växer på något skuggade block eller trädbaser, oftast nära marken, eller på jord intill vattendrag. Den trivs bäst i ädellövskog och förekommer ofta tillsammans med baronmossor </w:t>
      </w:r>
      <w:r>
        <w:rPr>
          <w:i/>
        </w:rPr>
        <w:t>Anomodon</w:t>
      </w:r>
      <w:r>
        <w:t xml:space="preserve"> och fjädermossor</w:t>
      </w:r>
      <w:r>
        <w:rPr>
          <w:i/>
        </w:rPr>
        <w:t xml:space="preserve"> Neckera</w:t>
      </w:r>
      <w:r>
        <w:t xml:space="preserve">. Trubbfjädermossa är typisk art för </w:t>
      </w:r>
      <w:r>
        <w:rPr>
          <w:i/>
        </w:rPr>
        <w:t>9020 Nordlig ädellövskog,</w:t>
      </w:r>
      <w:r>
        <w:t xml:space="preserve"> </w:t>
      </w:r>
      <w:r>
        <w:rPr>
          <w:i/>
        </w:rPr>
        <w:t xml:space="preserve">9080 Lövsumpskog, 9750 Svämlövskog, 9110 Näringsfattig bokskog, 9130 Näringsrik bokskog </w:t>
      </w:r>
      <w:r>
        <w:t xml:space="preserve">och </w:t>
      </w:r>
      <w:r>
        <w:rPr>
          <w:i/>
        </w:rPr>
        <w:t xml:space="preserve">9760 Svämädellövskog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8 naturvårdsarter varav 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2026-11-01</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