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25456-2023 i Kristianstads kommun</w:t>
      </w:r>
    </w:p>
    <w:p>
      <w:r>
        <w:t>Denna tillsynsbegäran behandlar höga naturvärden i avverkningsanmälan A 25456-2023 i Kristianstads kommun som inkom 2023-06-12 och omfattar 1,0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5456-2023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6181454, E 448382 i SWEREF 99 TM.</w:t>
      </w:r>
    </w:p>
    <w:p>
      <w:r>
        <w:t>I och inom 4 meter från avverkningsanmälan finns fynd av 2 naturvårdsarter, varav 2 är rödlistade: fläckig glansspinnare (NT) och krattsnabbvinge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Fläckig glansspinnare (NT)</w:t>
      </w:r>
      <w:r>
        <w:t xml:space="preserve"> förekommer i frodiga eller fuktiga skogsmarker och påträffas i mindre gläntor, i skogsbryn, längs skogsvägar och ofta i ädellövskogar där solen lyser in under en del av dagen. Den kan också uppehålla sig i skuggiga skogspartier runt gläntor. Fjärilen är huvudsakligen aktiv på dagen, främst på eftermiddagen då den ofta flyger. Arten hotas på de få kända lokalerna främst av slumpmässiga faktorer. De allvarligaste hoten är sannolikt kalavverkning av omgivande skog och igenväxning eller igenplantering av gläntor (SLU Artdatabanken, 2026).</w:t>
      </w:r>
    </w:p>
    <w:p>
      <w:r>
        <w:rPr>
          <w:b/>
        </w:rPr>
        <w:t>Krattsnabbvinge (NT)</w:t>
      </w:r>
      <w:r>
        <w:t xml:space="preserve"> förekommer sällsynt i östra Skåne, Blekinge, samt lokalt i sydligaste delen av Kalmar län. Fjärilen, som är knuten till områden med mer lågväxt ek i varma miljöer, kräver också tillgång till torra blomrika ängar för att kunna överleva. Larverna utvecklas främst på lägre ekgrenar. Så kallad krattskog uppstår främst på torra klipp- eller sandmarker och av den anledningen är flertalet lokaler kustnära eller på öar. Arten hotas främst av olika skogliga åtgärder såsom gallring och röjning av ekbuskar, avsågning av lägre grenar, samt av plantering av barrträd eller andra trädslag än ek i de små gläntor med nektarrik torrängsvegetation där fjärilarna söker föda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