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som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10 naturvårdsarter hittats: backsvala (EN, §4), grå stjälkröksvamp (EN), backsippa (VU, §8), hedblomster (VU, §8), backtimjan (NT), etternässla (NT), rapssandbi (NT), sandnejlika (NT, §7), skogsödla (§6) och gullviva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2"/>
      </w:pPr>
      <w:r>
        <w:t>Fridlysta arter</w:t>
      </w:r>
    </w:p>
    <w:p>
      <w:r>
        <w:t>Följande fridlysta arter har sina livsmiljöer och växtplatser i den avverkningsanmälda skogen: backsvala (EN, §4), backsippa (VU, §8), hedblomster (VU, §8), sandnejlika (NT,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