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som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2"/>
      </w:pPr>
      <w:r>
        <w:t>Fridlysta arter</w:t>
      </w:r>
    </w:p>
    <w:p>
      <w:r>
        <w:t>Följande fridlysta arter har sina livsmiljöer och växtplatser i den avverkningsanmälda skogen: barbastell (NT, §4a), brunlångöra (NT, §4a), entita (NT, T, §4), järnsparv (NT, §4), nordfladdermus (NT, §4a), talltita (NT, §4), spillkråka (T, §4), dvärgpipistrell (§4a), grönsiska (§4), kungsfågel (§4), skogsduva (§4), större brunfladdermus (§4a), trollpipistrell (§4a), vattenfladdermus (§4a),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