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som inkom 2025-02-27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11 naturvårdsarter hittats: sydlig taggfingersvamp (VU), bokkantlav (NT, T), bokvårtlav (NT, T), lövfagerspindling (NT), rävspindling (NT), silkesspindling (NT), fällmossa (S, T), jättesvampmal (S), klippfrullania (S, T), lönnlav (S) och rutbläcksvamp (S). Av dessa är 6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 xml:space="preserve">Sydlig taggfingersvamp (VU) </w:t>
      </w:r>
      <w:r>
        <w:t>är en mycket sällsynt art som</w:t>
      </w:r>
      <w:r>
        <w:rPr>
          <w:b/>
        </w:rPr>
        <w:t xml:space="preserve"> </w:t>
      </w:r>
      <w:r>
        <w:t>bildar mykorrhiza med bok i äldre kalkbokskog och i enstaka fall även med ek eller lind. Den hotas främst av skogsavverkning. Arten förekommer enbart i mycket exklusiva bokskogsmiljöer och samtliga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