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52019-2021 i Kristianstads kommun</w:t>
      </w:r>
    </w:p>
    <w:p>
      <w:r>
        <w:t>Detta klagomål behandlar höga naturvärden i avverkningsanmälan A 52019-2021 i Kristianstads kommun som inkom 2021-09-24 och omfattar 7,6 ha.</w:t>
      </w:r>
    </w:p>
    <w:p>
      <w:pPr>
        <w:pStyle w:val="Caption"/>
      </w:pPr>
      <w:r>
        <w:drawing>
          <wp:inline xmlns:a="http://schemas.openxmlformats.org/drawingml/2006/main" xmlns:pic="http://schemas.openxmlformats.org/drawingml/2006/picture">
            <wp:extent cx="5486400" cy="5271469"/>
            <wp:docPr id="1" name="Picture 1"/>
            <wp:cNvGraphicFramePr>
              <a:graphicFrameLocks noChangeAspect="1"/>
            </wp:cNvGraphicFramePr>
            <a:graphic>
              <a:graphicData uri="http://schemas.openxmlformats.org/drawingml/2006/picture">
                <pic:pic>
                  <pic:nvPicPr>
                    <pic:cNvPr id="0" name="A 52019-2021 karta.png"/>
                    <pic:cNvPicPr/>
                  </pic:nvPicPr>
                  <pic:blipFill>
                    <a:blip r:embed="rId16"/>
                    <a:stretch>
                      <a:fillRect/>
                    </a:stretch>
                  </pic:blipFill>
                  <pic:spPr>
                    <a:xfrm>
                      <a:off x="0" y="0"/>
                      <a:ext cx="5486400" cy="5271469"/>
                    </a:xfrm>
                    <a:prstGeom prst="rect"/>
                  </pic:spPr>
                </pic:pic>
              </a:graphicData>
            </a:graphic>
          </wp:inline>
        </w:drawing>
      </w:r>
    </w:p>
    <w:p>
      <w:pPr>
        <w:pStyle w:val="Caption"/>
        <w:spacing w:after="240"/>
      </w:pPr>
      <w:r>
        <w:t>Figur 1. Fyndplatser för naturvårdsarter i och inom 23 meter från avverkningsanmälan. Markörer utan svart kant är placerade på fyndplatsen. Markörer med svart kant är placerade vid sidan av fyndplatsen har ett svart streck som visar fyndplatsens exakta position. Kartans mittpunktskoordinat är N 6215676, E 456049 i SWEREF 99 TM.</w:t>
      </w:r>
    </w:p>
    <w:p>
      <w:r>
        <w:t>I och inom 23 meter från avverkningsanmälan finns fynd av 18 naturvårdsarter, varav 7 är rödlistade, 16 är fridlysta, 3 är typiska (T) och 1 är signalart (S): barbastell (NT, §4a), brunlångöra (NT, §4a), entita (NT, T, §4), gullklöver (NT), järnsparv (NT, §4), nordfladdermus (NT, §4a), talltita (NT, §4), mindre märgborre (S, T), spillkråka (T, §4), dvärgpipistrell (§4a), grönsiska (§4), kungsfågel (§4), skogsduva (§4), större brunfladdermus (§4a), trollpipistrell (§4a), vattenfladdermus (§4a), vanlig snok (§6) och gullviva (§9).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 xml:space="preserve">Barbastell (NT, §4a) </w:t>
      </w:r>
      <w:r>
        <w:t>omfattas av bilaga 2 och 4 EU:s art- och habitatdirektiv vilket innebär att arten och dess livsmiljöer är strikt skyddade samt att Natura 2000-områden ska inrättas. Den är globalt rödlistad som nära hotad (NT) och i den europeiska rödlistan är den klassad som sårbar (VU). Barbastell omfattas av ett åtgärdsprogram för hotade arter (ÅGP) och inför upprättandet av åtgärdsprogrammet för arten 2015, konstaterade EU-kommissionen att Sverige inte skyddat tillräckligt med områden för arten i boreal biogeografisk region (SLU Artdatabanken, 2024; IUCN, 2016; Ahlén, 2015).</w:t>
      </w:r>
    </w:p>
    <w:p>
      <w:r>
        <w:t>Barbastellen föredrar ett halvöppet landskap med betes- och slåttermarker och gamla bondeskogar där den är speciellt inriktad på att ta fjärilar, framför allt småfjärilar, men även andra smådjursgrupper, t.ex. tvåvingar och spindlar. Bevarande av livsmiljöer är särskilt relevant i gammaldags utmarksskog eftersom det är en biotop som drastiskt minskat och hotas av skogsbruk. Om sådan skog kalavverkas och ersätts av ett plantageskogsbruk är förutsättningarna för förekomst av barbastell förstörda för lång tid framåt. Utvecklingen på Sydsvenska höglandet där huvuddelen av populationen finns är osäker och pågående landskapsförändringar befaras kunna leda till minskning med regionala och lokala försvinnande inom den kommande 21 års perioden. Minskningstakten för den svenska populationen bedöms vara nära gränsvärdet för Sårbar (VU). (A3c) (SLU Artdatabanken, 2024; Ahlén, 2015).</w:t>
      </w:r>
    </w:p>
    <w:p>
      <w:r>
        <w:rPr>
          <w:b/>
        </w:rPr>
        <w:t>Brunlångöra (NT, §4a)</w:t>
      </w:r>
      <w:r>
        <w:t xml:space="preserve"> omfattas av bilaga 4 EU:s art- och habitatdirektiv vilket innebär att arten och dess livsmiljöer är strikt skyddade. Brunlångöra förekommer framförallt inne i relativt tät skog men födosöker också i trädgårdar, parker och hagar. Den har minskat med 17,5 (5–30) % under de senaste 21 åren och minskningstakten för den svenska populationen bedöms vara nära gränsvärdet för Sårbar (VU). (A2bc). Brunlångöra är typisk art för </w:t>
      </w:r>
      <w:r>
        <w:rPr>
          <w:i/>
        </w:rPr>
        <w:t>8310 Grottor</w:t>
      </w:r>
      <w:r>
        <w:t xml:space="preserve"> och </w:t>
      </w:r>
      <w:r>
        <w:rPr>
          <w:i/>
        </w:rPr>
        <w:t>8330</w:t>
      </w:r>
      <w:r>
        <w:t xml:space="preserve"> (SLU Artdatabanken, 2024).</w:t>
      </w:r>
    </w:p>
    <w:p>
      <w:r>
        <w:rPr>
          <w:b/>
        </w:rPr>
        <w:t>Entita (NT, §4)</w:t>
      </w:r>
      <w:r>
        <w:t xml:space="preserve">, rödlistad som nära hotad och prioriterad art i Skogsvårdslagen, har häckningsrevir i anmälan. Minskningstakten innevarande 10-årsperiod beräknas till 20 (10–30) % och bedöms vara nära gränsvärdet för Sårbar (VU). Entitan är ortstrogen och reviret är i genomsnitt omkring 5 hektar, ibland uppåt 20 hektar stort. Entitan är en utpräglad lövskogsfågel som föredrar flerskiktade, gärna högvuxna skogar med inslag av äldre träd och välutvecklat buskskikt. Även alkärr med videsnår hör till de miljöer som utnyttjas. Arten häckar ofta i skogar som är svagt eller inte alls påverkade av skogsbruk, ofta rör det sig om värdekärnor med höga naturvärden. Entitan missgynnas av konventionellt skogsbruk och dess ortstrohet och dåliga spridningsförmåga gör den känslig för fragmentering. Entita är typisk art för </w:t>
      </w:r>
      <w:r>
        <w:rPr>
          <w:i/>
        </w:rPr>
        <w:t>9080 Lövsumpskog</w:t>
      </w:r>
      <w:r>
        <w:t xml:space="preserve"> (Skogsstyrelsen, 2016, SLU Artdatabanken, 2021).</w:t>
      </w:r>
    </w:p>
    <w:p>
      <w:r>
        <w:rPr>
          <w:b/>
        </w:rPr>
        <w:t>Nordfladdermus (NT, §4a)</w:t>
      </w:r>
      <w:r>
        <w:t xml:space="preserve"> omfattas av bilaga 4 EU:s art- och habitatdirektiv vilket innebär ett strikt skydd där arten och dess livsmiljöer ska bevaras. Nordfladdermus föredrar variationsrik skog med förekomst av sjöar, vattendrag och våtmarker och hittas framförallt i halvöppna miljöer som trädbärande beteshagar och i kantzoner mellan skog och odlingsmark. Den undviker stora öppna områden som stora hyggen och större sammanhängande planteringar vilket minskar längden bryn och landskapets heterogenitet och därmed födotillgången och mängden lämpliga jaktplatser. Skogsbruksåtgärder som leder till minskad förekomst av äldre, gles skog och då särskilt tillgång på hålträd och träd med löst sittande bark kan leda till brist på koloniplatser och viloplatser. Nordfladdermus har minskat med 27,5 (5–50) % under de senaste 21 åren och minskningstakten för den svenska populationen bedöms vara nära gränsvärdet för Sårbar (VU). (A2bc) (SLU Artdatabanken, 2024; Skogsstyrelsen, 2016).</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Mindre märgborre</w:t>
      </w:r>
      <w:r>
        <w:t xml:space="preserve"> är en signalart för tallskog med höga naturvärden och betraktas tillsammans med skarptandad barkborre som nyckelarter för ett antal sällsynta åtgärdsprogramsarter som är beroende av deras gångsystem. Bland dessa kan nämnas avlång barkborre (VU), </w:t>
      </w:r>
      <w:r>
        <w:rPr>
          <w:i/>
        </w:rPr>
        <w:t>Corticeus longulus</w:t>
      </w:r>
      <w:r>
        <w:t xml:space="preserve"> (VU), tallgångbagge (VU), cholodkovskys bastborre (NT) och tallbarksvartbagge (NT). Den mindre märgborrens måsvingeliknande gnaggångar är lätta att känna igen och hittas ofta på grova tallgrenar på marken. Rika förekomster av främst mindre märgborre men även skarptandad barkborre är en signal för artrikedom och inventeringar har visat att det är i skogar med en naturlig självgallring som det skapas förutsättningar för dessa arter samt de efterföljande åtgärdsprogramsarterna. Tallskogar med stark förekomst av mindre märgborre och skarptandad barkborre bör avsättas som reservat. Generellt bör hänsyn tas vid slutavverkning av talldominerad skog så att avverkningsrester som gren- och toppdelar lämnas. Mindre märgborre är typisk art för </w:t>
      </w:r>
      <w:r>
        <w:rPr>
          <w:i/>
        </w:rPr>
        <w:t>9060 Åsbarrskog</w:t>
      </w:r>
      <w:r>
        <w:t xml:space="preserve"> (SLU Artdatabanken, 2026; Pettersson, 2014; Hedgren, 2012; Gunnarsson m fl., 1999).</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r>
        <w:rPr>
          <w:b/>
        </w:rPr>
        <w:t>Dvärgpipistrell (§4a)</w:t>
      </w:r>
      <w:r>
        <w:t xml:space="preserve"> omfattas av bilaga 4 EU:s art- och habitatdirektiv vilket innebär ett strikt skydd där arten och dess livsmiljöer ska bevaras. Arten förekommer i alla typer av glesare skogar men föredrar framförallt lövskog. Den födosöker inne bland träden och man hittar den i trädbärande beteshagar, i kantzoner mellan skog och odlingsmark, i närheten av vatten och i bymiljöer. Den undviker stora sammanhängande öppna miljöer såsom åkrar och hyggen. Skogsbruksåtgärder som leder till minskad förekomst av äldre, gles skog och då särskilt tillgång på hålträd och träd med löst sittande bark kan leda till brist på koloniplatser och viloplatser (SLU Artdatabanken, 2024; Skogsstyrelsen, 2016).</w:t>
      </w:r>
    </w:p>
    <w:p>
      <w:r>
        <w:rPr>
          <w:b/>
        </w:rPr>
        <w:t>Större brunfladdermus (§4a)</w:t>
      </w:r>
      <w:r>
        <w:t xml:space="preserve"> omfattas av bilaga 4 EU:s art- och habitatdirektiv vilket innebär ett strikt skydd där arten och dess livsmiljöer ska bevaras. Den lever huvudsakligen i större skogsområden med gamla lövträdsbestånd, där den jagar i alla typer av öppna och halvöppna miljöer, ofta över stora sjöar och vattendrag, strandängar, betes- och slåttermarker. Under året utnyttjar fladdermössen många olika miljöer och ett effektivt bevarandearbete måste därför utgå från ett landskapsekologiskt perspektiv. Den viktigaste faktorn för om fladdermössen ska kunna leva i ett område är tillgången på föda i form av nattaktiva insekter. Ett bra hemområde måste erbjuda god födotillgång under hela aktivitetsperioden. Åtgärder som bevarar och gynnar en hög insektsproduktion är därför centrala. I ett varierat landskap med hög andel äldre lövträd, småvatten, sumpskogar, öppna våtmarker, ängar och betesmarker avlöser olika insektsgrupper varandra vilket gör att det hela tiden finns tillräckligt med föda. Gamla träd med grov bark, skador, håligheter eller döda delar bör lämnas och yngre träd (efterträdare) tillåtas finnas kvar och åldras för att säkra framtida förekomst av lämpliga yngelmiljöer. Övervintringsplatser måste skyddas effektivt från störningar (SLU Artdatabanken, 2024).</w:t>
      </w:r>
    </w:p>
    <w:p>
      <w:r>
        <w:rPr>
          <w:b/>
        </w:rPr>
        <w:t>Trollpipistrell (§4a)</w:t>
      </w:r>
      <w:r>
        <w:t xml:space="preserve"> omfattas av bilaga 4 EU:s art- och habitatdirektiv vilket innebär ett strikt skydd för arten och dess livsmiljöer. Trollpipistrell förekommer i gles barr- och lövskog, i trädbärande beteshagar, i kantzoner mellan skog och odlingsmark, i närheten av sjöar och vattendrag samt i bymiljöer. Den undviker stora öppna miljöer såsom åkrar och hyggen och gynnas av ett landskap med mycket lövträd, vatten och hålträd. Under året utnyttjas många olika miljöer och ett effektivt bevarandearbete måste därför utgå från ett landskapsekologiskt perspektiv. Ett varierat landskap med hög andel äldre lövträd, småvatten, sumpskogar, öppna våtmarker, ängar och betesmarker, är gynnsamt för insekter vilket skapar förutsättningar för fladdermöss att finna tillräckligt med föda (SLU Artdatabanken, 2024).</w:t>
      </w:r>
    </w:p>
    <w:p>
      <w:r>
        <w:rPr>
          <w:b/>
        </w:rPr>
        <w:t>Vattenfladdermus (§4a)</w:t>
      </w:r>
      <w:r>
        <w:t xml:space="preserve"> omfattas av bilaga 4 EU:s art- och habitatdirektiv vilket innebär ett strikt skydd där arten och dess livsmiljöer ska bevaras. Arten förekommer mest vid vatten, vid både sjöar och vattendrag där den födosöker antingen tätt ovanför vattenytan eller i strandskog. Kolonin kan ligga ganska långt från vatten och den kan ibland jaga i skog flera kilometer från vatten. För vattenfladdermusen bör framförallt åtgärder planeras och vidtas i strandnära områden. Sumpskog och hålträd behöver bevaras och återskapas. Gamla träd med grov bark, skador, håligheter eller döda delar bör lämnas och yngre träd (efterträdare) tillåtas finnas kvar och åldras för att säkra framtida förekomst av lämpliga yngelmiljöer. Övervintringsplatser måste skyddas effektivt från störningar. Vattenfladdermus är typisk art för </w:t>
      </w:r>
      <w:r>
        <w:rPr>
          <w:i/>
        </w:rPr>
        <w:t>8310 Grottor</w:t>
      </w:r>
      <w:r>
        <w:t xml:space="preserve"> och </w:t>
      </w:r>
      <w:r>
        <w:rPr>
          <w:i/>
        </w:rPr>
        <w:t>8330 Havsgrottor</w:t>
      </w:r>
      <w:r>
        <w:t xml:space="preserve"> (SLU Artdatabanken, 2025).</w:t>
      </w:r>
    </w:p>
    <w:p>
      <w:r>
        <w:rPr>
          <w:b/>
        </w:rPr>
        <w:t>Gullviva (§9)</w:t>
      </w:r>
      <w:r>
        <w:t xml:space="preserve"> är värdväxt för bland annat den rödlistade och sällsynta fjärilen gullvivefjäril (VU) samt typisk art för </w:t>
      </w:r>
      <w:r>
        <w:rPr>
          <w:i/>
        </w:rPr>
        <w:t xml:space="preserve">9070 Trädklädd betesmark, 6530 Lövängar, 6510 Slåtterängar i låglandet </w:t>
      </w:r>
      <w:r>
        <w:t>och</w:t>
      </w:r>
      <w:r>
        <w:rPr>
          <w:i/>
        </w:rPr>
        <w:t xml:space="preserve"> 6270 Silikatgräsmarker</w:t>
      </w:r>
      <w:r>
        <w:t xml:space="preserve"> (SLU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18 naturvårdsarter varav 7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w:t>
        <w:br/>
        <w:t>Fridlysta och rödlistade arter</w:t>
      </w:r>
    </w:p>
    <w:p>
      <w:pPr>
        <w:pStyle w:val="Heading1"/>
      </w:pPr>
      <w:r>
        <w:t>Barbastell – ekologi samt krav på livsmiljön</w:t>
      </w:r>
    </w:p>
    <w:p>
      <w:r>
        <w:t>Barbastell (NT, §4a) omfattas av bilaga 2 och 4 EU:s art- och habitatdirektiv vilket innebär att arten och dess livsmiljöer är strikt skyddade samt att Natura 2000-områden ska inrättas. Barbastell är globalt rödlistad som nära hotad (NT) och i den europeiska rödlistan är den klassad som sårbar (VU). Den omfattas av ett åtgärdsprogram för hotade arter (ÅGP) och inför upprättandet av åtgärdsprogrammet för arten 2015, konstaterade EU-kommissionen att Sverige inte skyddat tillräckligt med områden för barbastell i boreal biogeografisk region (SLU Artdatabanken, 2024; IUCN, 2016; Ahlén, 2015).</w:t>
      </w:r>
    </w:p>
    <w:p>
      <w:r>
        <w:t>Barbastellen förekommer från Skåne och Blekinge i söder till Västra Götaland och Östergötland i norr. Den föredrar ett halvöppet landskap med betes- och slåttermarker och gamla bondeskogar där den är speciellt inriktad på att ta fjärilar, framför allt småfjärilar, men även andra smådjursgrupper, t.ex. tvåvingar och spindlar.  Utvecklingen på Sydsvenska höglandet där huvuddelen av populationen finns är osäker och pågående landskapsförändringar befaras kunna leda till minskning med regionala och lokala försvinnande inom den kommande 21 års perioden. Minskningstakten för den svenska populationen bedöms vara nära gränsvärdet för Sårbar (VU). (A3c) (SLU Artdatabanken, 2024; Ahlén, 2015).</w:t>
      </w:r>
    </w:p>
    <w:p>
      <w:r>
        <w:t>Kärnområdet i norra Småland och södra Östergötland kännetecknas av äldre genuin gårdsbebyggelse, ofta i byar med flera näraliggande gårdar och ladugårdar. I omgivningarna finns vanligen rikligt med äldre, grova tidigare hamlade träd och andra äldre lövträd, beteshagar och ängar, gärna med översilningsmark och kärr. Trädgårdar av äldre typ, icke alltför intensivt skötta, utgör också en viktig jaktbiotop. Barbastell jagar mest i närområdet kring kolonierna, men gör också regelbundet besök i skogsområdena runtom och jagar där bl.a. i äldre typ av skog som ännu bär spår av utmarksbete. Data från både västra och östra Småland visar att de regelbundet flyger minst 4 km från kolonimiljöerna. Mycket av dessa skogar har avverkats och ersatts av kalhyggen och planterade ungskogar vilket troligen är huvudorsaken till försvinnandet av flera kolonier och populationens tillbakagång i norra delen av utbredningsområdet (SLU Artdatabanken, 2024; Ahlén, 2015).</w:t>
      </w:r>
    </w:p>
    <w:p>
      <w:r>
        <w:t>Eftersom det handlar om rörliga djur som snabbt förflyttar sig över stora områden, måste det inte alltid vara ett sammanhängande skyddat område utan huvudsaken är att man bevarar tillräcklig mängd viktiga miljöer i ett område på ca 15–20 km2. Bevarande av livsmiljöer är särskilt relevant i gammaldags utmarksskog eftersom det är en biotop som drastiskt minskat och hotas av skogsbruk. Om sådan skog kalavverkas och ersätts av ett plantageskogsbruk är förutsättningarna för förekomst av barbastell förstörda för lång tid framåt. Bevarandet av de miljöer som barbastellen är beroende av skogsbrukets och jordbrukets miljöhänsyn. Ett anpassat skogsbruk, med kontinuitetskogsbruk samt bevarande av brynmiljöer i skogs- och jordbrukslandskapet är viktiga åtgärder (SLU Artdatabanken, 2024; Ahlén, 2015).</w:t>
      </w:r>
    </w:p>
    <w:p>
      <w:r>
        <w:t>Under året utnyttjar fladdermössen många olika miljöer och ett effektivt bevarandearbete måste därför utgå från ett landskapsekologiskt perspektiv. Den viktigaste faktorn för om fladdermössen ska kunna leva i ett område är tillgången på föda i form av nattaktiva insekter. Ett bra hemområde måste erbjuda god födotillgång under hela aktivitetsperioden. Åtgärder som bevarar och gynnar en hög insektsproduktion är därför centrala. I ett varierat landskap med hög andel äldre lövträd, småvatten, sumpskogar, öppna våtmarker, ängar och betesmarker avlöser olika insektsgrupper varandra vilket gör att det hela tiden finns tillräckligt med föda. En förändring från småskalig till mer storskalig fragmentering av skogsmark är negativt. Om insektsrika biotoper som fuktiga äldre skogar och betesmarker blir alltför glest förekommande så försvinner underlaget för att kunna bilda kolonier. Dränering av skogsmark, igenplantering av betesmarker, minskad lövrikedom, försämrad brynkvalitet är exempel på åtgärder som kan påverka habitatkvaliteten negativt. De viktigaste områdena för barbastellen bör säkras inom Natura 2000-nätverket enligt Habitatdirektivets bilaga 2 (SLU Artdatabanken, 2024; Ahlén, 2015).</w:t>
      </w:r>
    </w:p>
    <w:p>
      <w:pPr>
        <w:pStyle w:val="Heading2"/>
      </w:pPr>
      <w:r>
        <w:t>Referenser – barbastell</w:t>
      </w:r>
    </w:p>
    <w:p>
      <w:r>
        <w:t xml:space="preserve">Ahlén, I., 2015. </w:t>
      </w:r>
      <w:r>
        <w:rPr>
          <w:i/>
        </w:rPr>
        <w:t>Åtgärdsprogram för barbastell, 2015–2019 (Barbastella barbastellus)</w:t>
      </w:r>
      <w:r>
        <w:t>. Naturvårdsverket. Rapport: 6532.</w:t>
      </w:r>
    </w:p>
    <w:p>
      <w:r>
        <w:t xml:space="preserve">IUCN, 2016. </w:t>
      </w:r>
      <w:r>
        <w:rPr>
          <w:i/>
        </w:rPr>
        <w:t>Barbastella barbastellus</w:t>
      </w:r>
      <w:r>
        <w:t>. The IUCN Red List of Threatened Species.</w:t>
      </w:r>
    </w:p>
    <w:p>
      <w:r>
        <w:t xml:space="preserve">SLU Artdatabanken, 2024. </w:t>
      </w:r>
      <w:r>
        <w:rPr>
          <w:i/>
        </w:rPr>
        <w:t>Artfakta: barbastell (Barbastella barbastellus).</w:t>
      </w:r>
    </w:p>
    <w:p>
      <w:pPr>
        <w:pStyle w:val="Heading1"/>
      </w:pPr>
      <w:r>
        <w:t>Brunlångöra – ekologi samt krav på livsmiljön</w:t>
      </w:r>
    </w:p>
    <w:p>
      <w:r>
        <w:t>Brunlångöra (NT, §4a) omfattas av bilaga 4 EU:s art- och habitatdirektiv vilket innebär ett strikt skydd för arten och dess livsmiljöer. Den har minskat med 17,5 (5–30) % under de senaste 21 åren och minskningstakten för den svenska populationen bedöms vara nära gränsvärdet för Sårbar (VU). (A2bc) (SLU Artdatabanken, 2024).</w:t>
      </w:r>
    </w:p>
    <w:p>
      <w:r>
        <w:t>Brunlångöra förekommer framförallt inne i relativt tät skog men födosöker också runt hus, i parker, trädgårdar och hagar. Arten har ett mycket karakteristiskt jaktbeteende då den flyger tätt intill vegetationen så som träd och buskar eller lågt över marken där den plockar insekter och spindlar direkt från blad, grenar och grässtrån. Arten kan till och med ryttla, stå stilla i luften med fladdrande vingar. Kolonierna finns ofta i stora byggnader som kyrkor, lador och magasin. Arten påverkas negativt av belysning, och en kraftig minskning har observerats på ett antal koloniplatser i södra Sverige (SLU Artdatabanken, 2024).</w:t>
      </w:r>
    </w:p>
    <w:p>
      <w:r>
        <w:t xml:space="preserve">Den viktigaste faktorn för om fladdermössen ska kunna leva i ett område är tillgången på föda i form av nattaktiva insekter. Ett bra hemområde måste erbjuda god födotillgång under hela aktivitetsperioden. Åtgärder som bevarar och gynnar en hög insektsproduktion är därför centrala. I ett varierat landskap med hög andel äldre lövträd, småvatten, sumpskogar, öppna våtmarker, ängar och betesmarker avlöser olika insektsgrupper varandra vilket gör att det hela tiden finns tillräckligt med föda. Brunlångöra är typisk art för </w:t>
      </w:r>
      <w:r>
        <w:rPr>
          <w:i/>
        </w:rPr>
        <w:t>8310 Grottor</w:t>
      </w:r>
      <w:r>
        <w:t xml:space="preserve"> och </w:t>
      </w:r>
      <w:r>
        <w:rPr>
          <w:i/>
        </w:rPr>
        <w:t>8330 Havsgrottor</w:t>
      </w:r>
      <w:r>
        <w:t xml:space="preserve"> (SLU Artdatabanken, 2024).</w:t>
      </w:r>
    </w:p>
    <w:p>
      <w:pPr>
        <w:pStyle w:val="Heading2"/>
      </w:pPr>
      <w:r>
        <w:t>Referenser – brunlångöra</w:t>
      </w:r>
    </w:p>
    <w:p>
      <w:r>
        <w:t>SLU Artdatabanken, 2024.</w:t>
      </w:r>
      <w:r>
        <w:rPr>
          <w:i/>
        </w:rPr>
        <w:t xml:space="preserve"> Artfakta: brunlångöra (Plecotus auritus). </w:t>
      </w:r>
      <w:r>
        <w:t>https://artfakta.se/taxa/206002</w:t>
      </w:r>
    </w:p>
    <w:p>
      <w:pPr>
        <w:pStyle w:val="Heading1"/>
      </w:pPr>
      <w:r>
        <w:t>Entita – ekologi samt krav på livsmiljön</w:t>
      </w:r>
    </w:p>
    <w:p>
      <w:r>
        <w:t xml:space="preserve">Entita (NT, §4) är rödlistad som nära hotad, fridlyst och prioriterad art enligt Skogsvårdslagen. Den omfattas av EU:s fågeldirektiv och är typisk art för </w:t>
      </w:r>
      <w:r>
        <w:rPr>
          <w:i/>
        </w:rPr>
        <w:t>9080 Lövsumpskog</w:t>
      </w:r>
      <w:r>
        <w:t>. Minskningstakten har uppgått till 20 (10–30) % under de senaste 10 åren och bedöms vara nära gränsvärdet för Sårbar (VU). (A2b) (SLU Artdatabanken, 2021).</w:t>
      </w:r>
    </w:p>
    <w:p>
      <w:r>
        <w:t>Entitan är en utpräglad lövskogsfågel som påträffas i ädellövskogar, strandskogar, ekhagar, igenväxande hagmarker, lövdungar, parker och trädgårdar. Den föredrar flerskiktade, gärna högvuxna skogar med inslag av äldre träd och med ett välutvecklat buskskikt. Ek- och hasseldominerade skogar och dungar, samt alkärr med videsnår, hör till de miljöer som ofta utnyttjas. I sydligaste Sverige är bokskog en viktig miljö (Skogsstyrelsen, 2016).</w:t>
      </w:r>
    </w:p>
    <w:p>
      <w:r>
        <w:t>Reviren är relativt stora för en småfågel, i genomsnitt omkring 5 hektar men de kan vara upp till 20 hektar. Entitan är en utpräglad stannfågel och rör sig inte långt från kläckningsplatsen; ungfåglarna sprider sig sällan mer än 5 km från födelseplatsen och etablerade fåglar lämnar därefter inte sitt revir (Skogsstyrelsen, 2016). Det häckande paret försvarar sitt revir året runt. De tillåter dock en grupp av ungfåglar att etablera sig inom deras revir och så bildas en vinterflock, vilket sker redan i juni månad. Även under kalla vintrar stannar entitan kvar inom sitt revir. Hittar man entitor vid sitt foderbord beror det på att fågelmatningen ligger inom ett entiterevir (SLU Artdatabanken, 2021). Arten är känslig för fragmentering och har svårt att etablera sig i isolerade skogsområden. Entitan är hålhäckare, men kan inte själv hacka fram sitt hål utan är beroende av miljöer som erbjuder naturliga hål (Skogsstyrelsen, 2016).</w:t>
      </w:r>
    </w:p>
    <w:p>
      <w:r>
        <w:t>Arten häckar ofta i skogar som är svagt eller inte alls påverkade av skogsbruk. Särskilt i Svealand ofta i skogar som har höga naturvärden och utgör skogliga värdekärnor. Entitan missgynnas av konventionellt skogsbruk genom minskad förekomst av risiga, flerskiktade skogar liksom av avverkning av lövträdsrika kantzoner. Entitans ortstrohet och dåliga spridningsförmåga gör den känslig för fragmentering (Skogsstyrelsen, 2016).</w:t>
      </w:r>
    </w:p>
    <w:p>
      <w:pPr>
        <w:pStyle w:val="Heading2"/>
      </w:pPr>
      <w:r>
        <w:t>Referenser – entita</w:t>
      </w:r>
    </w:p>
    <w:p>
      <w:r>
        <w:t xml:space="preserve">Skogsstyrelsen, 2016. </w:t>
      </w:r>
      <w:r>
        <w:rPr>
          <w:i/>
        </w:rPr>
        <w:t xml:space="preserve">Vägledning för hänsyn till entita. </w:t>
      </w:r>
      <w:r>
        <w:t>https://www.skogsstyrelsen.se/globalassets/lag-och-tillsyn/artskydd/vagledningar-for-hansyn-till-faglar/entita-vagledning-hansyn2.pdf</w:t>
      </w:r>
    </w:p>
    <w:p>
      <w:r>
        <w:t xml:space="preserve">SLU Artdatabanken, 2021. </w:t>
      </w:r>
      <w:r>
        <w:rPr>
          <w:i/>
        </w:rPr>
        <w:t xml:space="preserve">Artfaktablad. Naturvård – artfakta. </w:t>
      </w:r>
      <w:r>
        <w:t>SLU Artdatabanken, Uppsala</w:t>
      </w:r>
    </w:p>
    <w:p>
      <w:pPr>
        <w:pStyle w:val="Heading1"/>
      </w:pPr>
      <w:r>
        <w:t>Nordfladdermus – ekologi samt krav på livsmiljön</w:t>
      </w:r>
    </w:p>
    <w:p>
      <w:r>
        <w:t>Nordfladdermus (NT, §4a) omfattas av bilaga 4 EU:s art- och habitatdirektiv vilket innebär ett strikt skydd för arten och dess livsmiljöer. Arten har minskat med 27,5 (5–50) % under de senaste 21 åren och minskningstakten för den svenska populationen bedöms vara nära gränsvärdet för Sårbar (VU). (A2bc) (SLU Artdatabanken, 2024).</w:t>
      </w:r>
    </w:p>
    <w:p>
      <w:r>
        <w:t>Nordfladdermus föredrar variationsrik skog med förekomst av sjöar, vattendrag och våtmarker och hittas framförallt i halvöppna miljöer som trädbärande beteshagar och i kantzoner mellan skog och odlingsmark. Den undviker stora öppna områden som stora hyggen och större sammanhängande planteringar vilket minskar längden bryn och landskapets heterogenitet och därmed födotillgången och mängden lämpliga jaktplatser. Skogsbruksåtgärder som leder till minskad förekomst av äldre, gles skog och då särskilt tillgång på hålträd och träd med löst sittande bark kan leda till brist på koloniplatser och viloplatser (SLU Artdatabanken, 2024; Skogsstyrelsen, 2016).</w:t>
      </w:r>
    </w:p>
    <w:p>
      <w:r>
        <w:t>Fladdermöss är beroende av hänsyn på landskapsnivå och det är viktigt att alla typer av vatten och våtmarker samt fuktiga skogspartier återställs och bevaras. Sväm- och sumpskog ska alltid sparas, och äldre lövmiljöer bör alltid sparas för födosök, koloniplatser och viloplatser. Utöver kantzoner mot vatten och våtmarker bör tillräckligt breda skyddszoner av uppväxt skog sparas för att skapa och bevara vindskyddade födosöksmiljöer. Genom att binda samman befintliga skogsbestånd med korridorer av uppvuxen skog skapas ett fladdermusvänligt landskap (SLU Artdatabanken, 2024; Skogsstyrelsen, 2016).</w:t>
      </w:r>
    </w:p>
    <w:p>
      <w:pPr>
        <w:pStyle w:val="Heading2"/>
      </w:pPr>
      <w:r>
        <w:t>Referenser – nordfladdermus</w:t>
      </w:r>
    </w:p>
    <w:p>
      <w:r>
        <w:t xml:space="preserve">Skogsstyrelsen, 2016. </w:t>
      </w:r>
      <w:r>
        <w:rPr>
          <w:i/>
        </w:rPr>
        <w:t xml:space="preserve">Vägledning för hänsyn till nordfladdermus. </w:t>
      </w:r>
      <w:r>
        <w:t>Vägledningar och kunskapsstöd artskydd - Skogsstyrelsen</w:t>
      </w:r>
    </w:p>
    <w:p>
      <w:r>
        <w:t>SLU Artdatabanken, 2024.</w:t>
      </w:r>
      <w:r>
        <w:rPr>
          <w:i/>
        </w:rPr>
        <w:t xml:space="preserve">  Artfakta: nordfladdermus (Eptesicus nilssonii). </w:t>
      </w:r>
      <w:r>
        <w:t>https://artfakta.se/taxa/205998</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Mindre märgborre – ekologi samt krav på livsmiljön</w:t>
      </w:r>
    </w:p>
    <w:p>
      <w:r>
        <w:t xml:space="preserve">Mindre märgborre är en signalart för tallskog med höga naturvärden och kan lätt konstateras genom sina karaktäristiska måsvingeliknande gnagspår som ofta hittas på grova tallgrenar på marken. Mindre märgborre betraktas tillsammans med skarptandad barkborre som nyckelarter, eftersom en rad sällsynta efterföljande arter är beroende av deras gångsystem. Bland dessa kan nämnas åtgärdsprogramsarterna avlång barkborre (VU), </w:t>
      </w:r>
      <w:r>
        <w:rPr>
          <w:i/>
        </w:rPr>
        <w:t>Corticeus longulus</w:t>
      </w:r>
      <w:r>
        <w:t xml:space="preserve"> (VU), tallgångbagge (VU), cholodkovskys bastborre (NT) och tallbarksvartbagge (NT) (Pettersson, 2014; Gunnarsson m fl., 1999).</w:t>
      </w:r>
    </w:p>
    <w:p>
      <w:r>
        <w:t>Tallskogar tillhör de livsmiljöer som förändrats i stor skala, där många kvadratmil har omvandlats till unga produktionsskogar. I sådana skogar saknas förutsättningar för de ovannämnda sällsynta barkborrarna och alltmer kunskap tyder på att skogsbrukets omvandling av skogslandskapet, missgynnar åtgärdsprogrammets arter även inne i skyddade områden (Hedgren, 2012; Hedgren m.fl., 2010; Wikars m.fl., 2010; Wikars, 2009). Orsaken är sannolikt att dagens intensiva skogsbruk trivialiserar faunan på nydöda träd. Detta sker genom att generalister förökas upp i sådan grad i den brukade skogen att dessa även kommer att dominera i de för hållandevis små och fragmenterade områden som avsätts för naturvård (Appelqvist, 2005; Janzen, 1983; Ås, 1999).</w:t>
      </w:r>
    </w:p>
    <w:p>
      <w:r>
        <w:t>Ett tydligt exempel på en generalist som gynnas av dagens skogsbruk är större märgborre på nydöd tall. Denna utvecklas förutom i vindfällen gärna i avverkningsavfall, inklusive avverkningsstubbar och röjningsstammar. Därmed har den större märgborren möjlighet att upprätthålla stora och stabila populationer på huvuddelen av landets skogsmark, vilket leder till en trivialisering av faunan. Större märgborre inverkar sannolikt direkt negativt på arter som tolvtandad barkborre (EN) och avlång barkborre (VU), och indirekt på de som är gynnade av blånadssvampar, dvs. följearter till framförallt mindre märgborre och skarptandad barkborre. De barkborrar som missgynnas av större märgborre är i mycket högre grad gynnade av tallar som dör genom självgallring, dvs. i normalfallet skog som inte används till skogsproduktion (Pettersson, 2014; Wikars, skriftl.).</w:t>
      </w:r>
    </w:p>
    <w:p>
      <w:r>
        <w:t xml:space="preserve">Rika förekomster av främst mindre märgborre men även skarptandad barkborre är en signal för artrikedom och inventeringar har visat att det är i skogar med en naturlig självgallring som det skapas förutsättningar för dessa arter samt de efterföljande åtgärdsprogramsarterna (Pettersson, 2014; Hedgren, 2012). Tallskogar med stark förekomst av mindre märgborre och skarptandad barkborre bör avsättas som reservat. Generellt bör hänsyn tas vid slutavverkning av talldominerad skog så att avverkningsrester som gren- och toppdelar (s.k. GROT) lämnas. Mindre märgborre är typisk art för </w:t>
      </w:r>
      <w:r>
        <w:rPr>
          <w:i/>
        </w:rPr>
        <w:t>9060 Åsbarrskog</w:t>
      </w:r>
      <w:r>
        <w:t xml:space="preserve"> (Pettersson, 2014; SLU Artdatabanken, 2026).</w:t>
      </w:r>
    </w:p>
    <w:p>
      <w:pPr>
        <w:pStyle w:val="Heading2"/>
      </w:pPr>
      <w:r>
        <w:t>Referenser – mindre märgborre</w:t>
      </w:r>
    </w:p>
    <w:p>
      <w:r>
        <w:t xml:space="preserve">Appelqvist, T., 2005. </w:t>
      </w:r>
      <w:r>
        <w:rPr>
          <w:i/>
        </w:rPr>
        <w:t>Naturvårdsbiologisk forskning. Underlag för områdesskydd i landskapet.</w:t>
      </w:r>
      <w:r>
        <w:t xml:space="preserve"> Naturvårdsverket, Rapport 5452.</w:t>
      </w:r>
    </w:p>
    <w:p>
      <w:r>
        <w:t xml:space="preserve">Gunnarsson, B., Pettersson, R. B., Hake, M. och Hultengren, S. &amp; Sjöberg, K., 1999. </w:t>
      </w:r>
      <w:r>
        <w:rPr>
          <w:i/>
        </w:rPr>
        <w:t xml:space="preserve">Spindlar och skalbaggar som indikatorer i barrskog. </w:t>
      </w:r>
      <w:r>
        <w:t>Skog &amp; Forskning, Nr. 2/99, s. 46–51.</w:t>
      </w:r>
    </w:p>
    <w:p>
      <w:r>
        <w:t xml:space="preserve">Hedgren, O., 2012. </w:t>
      </w:r>
      <w:r>
        <w:rPr>
          <w:i/>
        </w:rPr>
        <w:t>Hotade insekter på tallved i Dalarna.</w:t>
      </w:r>
      <w:r>
        <w:t xml:space="preserve"> Länsstyrelsen Dalarna, Naturvårdsenheten. Rapport 2012:16.</w:t>
      </w:r>
    </w:p>
    <w:p>
      <w:r>
        <w:t xml:space="preserve">Hedgren, O. 2010. </w:t>
      </w:r>
      <w:r>
        <w:rPr>
          <w:i/>
        </w:rPr>
        <w:t>Vedinsekter i tallskog och på brandfält i Värmland.</w:t>
      </w:r>
      <w:r>
        <w:t xml:space="preserve"> Länsstyrelsen Värmland, Stencil, 39 s.</w:t>
      </w:r>
    </w:p>
    <w:p>
      <w:r>
        <w:t xml:space="preserve">Janzen, D. H., 1983. </w:t>
      </w:r>
      <w:r>
        <w:rPr>
          <w:i/>
        </w:rPr>
        <w:t>No park is an island: Increase in interference from outside as park size decreases</w:t>
      </w:r>
      <w:r>
        <w:t>. Oikos 41: 402–410.</w:t>
      </w:r>
    </w:p>
    <w:p>
      <w:r>
        <w:t xml:space="preserve">Jonsell, M., Weslien, J. &amp; Ehn ström, B., 1998. </w:t>
      </w:r>
      <w:r>
        <w:rPr>
          <w:i/>
        </w:rPr>
        <w:t>Substrate requirements of red-listed saproxylic invertebrates in Sweden</w:t>
      </w:r>
      <w:r>
        <w:t>. Biodiversity and Conserv. 7: 749–764.</w:t>
      </w:r>
    </w:p>
    <w:p>
      <w:r>
        <w:t xml:space="preserve">Pettersson, R. B., 2014). </w:t>
      </w:r>
      <w:r>
        <w:rPr>
          <w:i/>
        </w:rPr>
        <w:t>Åtgärdsprogram för skalbaggar på nyligen död tall, 2014–2018.</w:t>
      </w:r>
      <w:r>
        <w:t xml:space="preserve"> Rapport 6599. Bromma: Naturvårdsverket.</w:t>
      </w:r>
    </w:p>
    <w:p>
      <w:r>
        <w:t xml:space="preserve">SLU Artdatabanken, 2026. </w:t>
      </w:r>
      <w:r>
        <w:rPr>
          <w:i/>
        </w:rPr>
        <w:t xml:space="preserve">Artfaktablad. Naturvård – artfakta. </w:t>
      </w:r>
      <w:r>
        <w:t>SLU Artdatabanken, Uppsala.</w:t>
      </w:r>
    </w:p>
    <w:p>
      <w:r>
        <w:t xml:space="preserve">Wikars, L.-O., Hansson, J. &amp; Hedgren, O., 2010. </w:t>
      </w:r>
      <w:r>
        <w:rPr>
          <w:i/>
        </w:rPr>
        <w:t>Inventering av vedlevande skalbaggar – tallskogar i Örebro län.</w:t>
      </w:r>
      <w:r>
        <w:t xml:space="preserve"> Länsstyrelsen i Örebro län, publ.nr. 2010:2.</w:t>
      </w:r>
    </w:p>
    <w:p>
      <w:r>
        <w:t xml:space="preserve">Wikars, L.-O., 2009. </w:t>
      </w:r>
      <w:r>
        <w:rPr>
          <w:i/>
        </w:rPr>
        <w:t>Vedskalbaggar i Hamra nationalpark, Gävleborgs län.</w:t>
      </w:r>
      <w:r>
        <w:t xml:space="preserve"> Länsstyrelsen Gävleborg, Rapport 2009:14.</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p>
      <w:pPr>
        <w:pStyle w:val="Heading1"/>
      </w:pPr>
      <w:r>
        <w:t>Dvärgpipistrell – ekologi samt krav på livsmiljön</w:t>
      </w:r>
    </w:p>
    <w:p>
      <w:r>
        <w:t>Dvärgpipistrell (§4a) omfattas av bilaga 4 EU:s art- och habitatdirektiv vilket innebär ett strikt skydd för arten och dess livsmiljöer. Arten förekommer i alla typer av glesare skogar men föredrar framförallt lövskog. Den födosöker inne bland träden och man hittar den i trädbärande beteshagar, i kantzoner mellan skog och odlingsmark, i närheten av vatten och i bymiljöer. Den undviker stora sammanhängande öppna miljöer såsom åkrar och hyggen. Skogsbruksåtgärder som leder till minskad förekomst av äldre, gles skog och då särskilt tillgång på hålträd och träd med löst sittande bark kan leda till brist på koloniplatser och viloplatser (SLU Artdatabanken, 2024; Skogsstyrelsen, 2016).</w:t>
      </w:r>
    </w:p>
    <w:p>
      <w:r>
        <w:t>Fladdermöss är beroende av hänsyn på landskapsnivå och det är viktigt att alla typer av vatten och våtmarker samt fuktiga skogspartier återställs och bevaras. Sväm- och sumpskog ska alltid sparas, och äldre lövmiljöer bör alltid sparas för födosök, koloniplatser och viloplatser. Utöver kantzoner mot vatten och våtmarker bör tillräckligt breda skyddszoner av uppväxt skog sparas för att skapa och bevara vindskyddade födosöksmiljöer. Genom att binda samman befintliga skogsbestånd med korridorer av uppvuxen skog skapas ett fladdermusvänligt landskap (SLU Artdatabanken, 2024; Skogsstyrelsen, 2016).</w:t>
      </w:r>
    </w:p>
    <w:p>
      <w:pPr>
        <w:pStyle w:val="Heading2"/>
      </w:pPr>
      <w:r>
        <w:t>Referenser – dvärgpipistrell</w:t>
      </w:r>
    </w:p>
    <w:p>
      <w:r>
        <w:t xml:space="preserve">Skogsstyrelsen, 2016. </w:t>
      </w:r>
      <w:r>
        <w:rPr>
          <w:i/>
        </w:rPr>
        <w:t xml:space="preserve">Vägledning för hänsyn till pipistrell. </w:t>
      </w:r>
      <w:r>
        <w:t>Vägledningar och kunskapsstöd artskydd - Skogsstyrelsen</w:t>
      </w:r>
    </w:p>
    <w:p>
      <w:r>
        <w:t>SLU Artdatabanken, 2024.</w:t>
      </w:r>
      <w:r>
        <w:rPr>
          <w:i/>
        </w:rPr>
        <w:t xml:space="preserve">  Artfakta: dvärgpipistrell (Pipistrellus pygmaeus). </w:t>
      </w:r>
      <w:r>
        <w:t>https://artfakta.se/taxa/205995</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2026-07-22</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