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2888-2024 i Kristianstads kommun</w:t>
      </w:r>
    </w:p>
    <w:p>
      <w:r>
        <w:t>Denna tillsynsbegäran behandlar höga naturvärden i avverkningsanmälan A 2888-2024 i Kristianstads kommun som inkom 2024-01-24 och omfattar 10,0 ha.</w:t>
      </w:r>
    </w:p>
    <w:p>
      <w:pPr>
        <w:pStyle w:val="Caption"/>
      </w:pPr>
      <w:r>
        <w:drawing>
          <wp:inline xmlns:a="http://schemas.openxmlformats.org/drawingml/2006/main" xmlns:pic="http://schemas.openxmlformats.org/drawingml/2006/picture">
            <wp:extent cx="5486400" cy="5644770"/>
            <wp:docPr id="1" name="Picture 1"/>
            <wp:cNvGraphicFramePr>
              <a:graphicFrameLocks noChangeAspect="1"/>
            </wp:cNvGraphicFramePr>
            <a:graphic>
              <a:graphicData uri="http://schemas.openxmlformats.org/drawingml/2006/picture">
                <pic:pic>
                  <pic:nvPicPr>
                    <pic:cNvPr id="0" name="A 2888-2024 karta.png"/>
                    <pic:cNvPicPr/>
                  </pic:nvPicPr>
                  <pic:blipFill>
                    <a:blip r:embed="rId16"/>
                    <a:stretch>
                      <a:fillRect/>
                    </a:stretch>
                  </pic:blipFill>
                  <pic:spPr>
                    <a:xfrm>
                      <a:off x="0" y="0"/>
                      <a:ext cx="5486400" cy="56447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6224191, E 453624 i SWEREF 99 TM.</w:t>
      </w:r>
    </w:p>
    <w:p>
      <w:r>
        <w:t>I avverkningsanmälan finns fynd av 2 naturvårdsarter, varav 1 är typisk (T) och 2 är signalarter (S): kransrams (S, T) och stor häxört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Kransrams</w:t>
      </w:r>
      <w:r>
        <w:t xml:space="preserve"> är typisk art för </w:t>
      </w:r>
      <w:r>
        <w:rPr>
          <w:i/>
        </w:rPr>
        <w:t xml:space="preserve">9020 Nordlig ädellövskog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2026-11-02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