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2837-2023 i Kristianstads kommun</w:t>
      </w:r>
    </w:p>
    <w:p>
      <w:r>
        <w:t>Detta dokument behandlar höga naturvärden i avverkningsanmälan A 2837-2023 i Kristianstads kommun. Denna avverkningsanmälan inkom 2023-01-19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bechsteins fladdermus (EN, §4a), bokkantlav (NT), bokvårtlav (NT), fransfladdermus (NT, §4a), liten lundlav (NT), fällmossa (S), dvärgpipistrell (§4a), skogsduva (§4), större brunfladdermus (§4a), vattenfladdermus (§4a)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2837-2023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6225083, E 451926 i SWEREF 99 TM.</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bechsteins fladdermus (EN, §4a), fransfladdermus (NT, §4a), dvärgpipistrell (§4a), skogsduva (§4), större brunfladdermus (§4a), vattenfladdermus (§4a)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Bechsteins fladdermus (EN, §4a)</w:t>
      </w:r>
      <w:r>
        <w:t xml:space="preserve"> är en starkt hotad fladdermus som omfattas av bilaga 2 och 4 EU:s art- och habitatdirektiv vilket innebär att arten och dess livsmiljöer är strikt skyddade samt att Natura 2000-områden ska inrättas. Arten är globalt rödlistad som nära hotad (NT) och i den europeiska rödlistan är den klassad som sårbar (VU). Bechsteins fladdermus är skogslevande och behöver tillräcklig mängd insektsrik äldre skog med varierad struktur och med hög konnektivitet. Den är känslig för fragmentering och det är särskilt viktigt att bevara miljöer med äldre bok- och avenbokskogar med många ihåliga träd (SLU Artdatabanken, 2024; IUCN,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Bechsteins fladdermus – ekologi samt krav på livsmiljön</w:t>
      </w:r>
    </w:p>
    <w:p>
      <w:r>
        <w:t>Bechsteins fladdermus (EN, §4a) är en starkt hotad fladdermus som omfattas av bilaga 2 och 4 EU:s art- och habitatdirektiv vilket innebär att arten och dess livsmiljöer är strikt skyddade samt att Natura 2000-områden ska inrättas. Bechsteins fladdermus är globalt rödlistad som nära hotad (NT) och i den europeiska rödlistan är den klassad som sårbar (VU) (SLU Artdatabanken, 2024; IUCN, 2016).</w:t>
      </w:r>
    </w:p>
    <w:p>
      <w:r>
        <w:t>Bechsteins fladdermus påträffas främst i lövskog med bok, ek, avenbok med flera trädarter. Arten är mycket stationär och rör sig över mindre områden än någon annan europeisk fladdermusart. Födosöksområdena för enskilda individer är oftast inte större än cirka 10 ha. Avstånd mellan koloniträd och födosöksområde är sällan över 1 km. Den håller sig till stor del inne i skogen för födosök och undviker stora sammanhängande öppna miljöer såsom åkrar och hyggen (SLU Artdatabanken, 2024).</w:t>
      </w:r>
    </w:p>
    <w:p>
      <w:r>
        <w:t>Arten är känslig för fragmentering och avverkning av äldre skogar och hålträd samt dränering är exempel på brukande som kan vara negativt. För bechsteins fladdermus är det särskilt viktigt att bevara miljöer med äldre bok- och avenbokskogar med många ihåliga träd. För att underlätta spridning och nyetablering bör skogsbruket i anslutning till kända lokaler bedrivas med speciella hänsyn, vilket t.ex. kan inkludera kontinuitetsskogsbruk och särskild hänsyn till hålträd, äldre träd och våtmarker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bechsteins fladdermus</w:t>
      </w:r>
    </w:p>
    <w:p>
      <w:r>
        <w:t xml:space="preserve">IUCN, 2016. </w:t>
      </w:r>
      <w:r>
        <w:rPr>
          <w:i/>
        </w:rPr>
        <w:t>Myotis bechsteinii</w:t>
      </w:r>
      <w:r>
        <w:t>. The IUCN Red List of Threatened Species.</w:t>
      </w:r>
    </w:p>
    <w:p>
      <w:r>
        <w:t>SLU Artdatabanken, 2024.</w:t>
      </w:r>
      <w:r>
        <w:rPr>
          <w:i/>
        </w:rPr>
        <w:t xml:space="preserve"> Artfakta: Bechsteins fladdermus (Myotis bechsteinii).</w:t>
      </w:r>
      <w:r>
        <w:t xml:space="preserve"> https://artfakta.se/taxa/100085</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