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43416-2020 i Kristianstads kommun</w:t>
      </w:r>
    </w:p>
    <w:p>
      <w:r>
        <w:t>Detta dokument behandlar höga naturvärden i avverkningsanmälan A 43416-2020 i Kristianstads kommun. Denna avverkningsanmälan inkom 2020-09-04 och omfattar 20,0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10 naturvårdsarter hittats: bläcksopp (S), fjällsopp (S), gulfotshätta (S), gulskölding (S), igelkottsröksvamp (S), lömsk flugsvamp (S), myskmadra (S), rutbläcksvamp (S), småskölding (S) och blåsippa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67330"/>
            <wp:docPr id="1" name="Picture 1"/>
            <wp:cNvGraphicFramePr>
              <a:graphicFrameLocks noChangeAspect="1"/>
            </wp:cNvGraphicFramePr>
            <a:graphic>
              <a:graphicData uri="http://schemas.openxmlformats.org/drawingml/2006/picture">
                <pic:pic>
                  <pic:nvPicPr>
                    <pic:cNvPr id="0" name="A 43416-2020 karta.png"/>
                    <pic:cNvPicPr/>
                  </pic:nvPicPr>
                  <pic:blipFill>
                    <a:blip r:embed="rId16"/>
                    <a:stretch>
                      <a:fillRect/>
                    </a:stretch>
                  </pic:blipFill>
                  <pic:spPr>
                    <a:xfrm>
                      <a:off x="0" y="0"/>
                      <a:ext cx="5486400" cy="356733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6218531, E 442262 i SWEREF 99 TM.</w:t>
      </w:r>
    </w:p>
    <w:p>
      <w:r>
        <w:rPr>
          <w:b/>
        </w:rPr>
        <w:t xml:space="preserve">Bläcksopp </w:t>
      </w:r>
      <w:r>
        <w:t>är en värmekrävande art som bildar mykorrhiza med bok, ek och möjligen andra lövträd. Knuten till kalk- och näringsrik mark i ädellövskog, helst ängsbokskog. Artens växtplatser behöver skyddas från skogsbruksåtgärder som medför större förändringar av miljön (SLU Artdatabanken, 2024).</w:t>
      </w:r>
    </w:p>
    <w:p>
      <w:r>
        <w:rPr>
          <w:b/>
        </w:rPr>
        <w:t xml:space="preserve">Gulfotshätta </w:t>
      </w:r>
      <w:r>
        <w:t>signalerar lövskogar med höga naturvärden. På lokalerna finns oftast en rik lundflora samt många andra ovanliga och rödlistade arter. Växtmiljön utgörs normalt av näringsrika lövskogar i sena, naturskogslika successionsstadier där det finns rikligt med död ved. Växtplatserna har nästan alltid en långvarig ekologisk kontinuitet som lövträdsbevuxen mark (Nitare &amp; Skogsstyrelsen, 2019).</w:t>
      </w:r>
    </w:p>
    <w:p>
      <w:r>
        <w:rPr>
          <w:b/>
        </w:rPr>
        <w:t xml:space="preserve">Igelkottsröksvamp </w:t>
      </w:r>
      <w:r>
        <w:t>är överallt en bra signalart på skyddsvärda ädellövskogar och lövlundar. Svampen är kalkgynnad och indikerar lokalklimatiskt varma men samtidigt relativt fuktiga lövskogar. Växtmiljön utgörs vanligtvis av äldre successionsstadier inom områden med långvarig trädkontinuitet och lokalerna hyser oftast en rik lundflora med många andra ovanliga och rödlistade arter. Skogsbruk som bryter den skogliga kontinuiteten och förändrade markförhållanden missgynnar arten (SLU Artdatabanken, 2024; Nitare &amp; Skogsstyrelsen, 2019).</w:t>
      </w:r>
    </w:p>
    <w:p>
      <w:r>
        <w:rPr>
          <w:b/>
        </w:rPr>
        <w:t xml:space="preserve">Rutbläcksvamp </w:t>
      </w:r>
      <w:r>
        <w:t>är en värmeälskande förnasvamp som växer i gamla och örtrika ädellövskogar på kalkrik mark, särskilt ängsbokskog. Arten signalerar skogsmiljöer med höga naturvärden och förekommer ofta tillsammans med många ovanliga och rödlistade arter. Utanför Skåne och Halland är den mycket krävande i sitt val av växtplats och påträffas nästan enbart i exklusiva ädellövskogar på kalk (Nitare &amp; Skogsstyrelsen, 2019).</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