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5154-2024 i Kristianstads kommun</w:t>
      </w:r>
    </w:p>
    <w:p>
      <w:r>
        <w:t>Detta klagomål behandlar höga naturvärden i samrådsanmälan S 5154-2024 i Kristianstads kommun som inkom 2024-12-20 och omfattar 1,7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S 5154-2024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6221108, E 460618 i SWEREF 99 TM.</w:t>
      </w:r>
    </w:p>
    <w:p>
      <w:r>
        <w:t>Inom 15 meter från samrådsanmälan finns fynd av 8 naturvårdsarter, varav 3 är rödlistade, 6 är typiska (T) och 3 är signalarter (S): kejsarspindling (VU), bokkantlav (NT, T), bokvårtlav (NT, T), guldlockmossa (S, T), jättesvampmal (S), platt fjädermossa (S, T), hampflockel (T) och skogsbingel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Kejsarspindling (VU) </w:t>
      </w:r>
      <w:r>
        <w:t>bildar mykorrhiza med bok i ängsbokskog på torr och kalkrik mark. Kalavverkning, kraftig gallring eller andra genomgripande förändringar i bokskog missgynnar arten. De få kända lokalerna, vilka också är växtplats för en rad andra mycket sällsynta svampar, måste omgående säkerställas. För att artens överlevnad i landet skall kunna säkerställas måste fler bokskogar på kalkrik mark undantas från skogsbruk eller skötas med stor försiktighet och kalavverkning undvikas helt. Kejsarspindling är globalt rödlistad som nära hotad (NT) vilket innebär att Sverige har ett internationellt ansvar för arten (SLU Artdatabanken, 2024; IUCN, 2021).</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Hampflockel</w:t>
      </w:r>
      <w:r>
        <w:t xml:space="preserve"> är typisk art för </w:t>
      </w:r>
      <w:r>
        <w:rPr>
          <w:i/>
        </w:rPr>
        <w:t xml:space="preserve">9760 Svämädellövskog </w:t>
      </w:r>
      <w:r>
        <w:t xml:space="preserve">och </w:t>
      </w:r>
      <w:r>
        <w:rPr>
          <w:i/>
        </w:rPr>
        <w:t>6430 Högörtängar</w:t>
      </w:r>
      <w:r>
        <w:t>. Fjärilarna hampflockelssäckmal (NT), hampflockelsfjädermott och hampflockelsvecklare har hampflockel som sin värdväxt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