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44585-2023 i Kristianstads kommun</w:t>
      </w:r>
    </w:p>
    <w:p>
      <w:r>
        <w:t>Detta klagomål behandlar höga naturvärden i avverkningsanmälan A 44585-2023 i Kristianstads kommun som inkom 2023-09-20 och omfattar 1,4 ha.</w:t>
      </w:r>
    </w:p>
    <w:p>
      <w:pPr>
        <w:pStyle w:val="Caption"/>
      </w:pPr>
      <w:r>
        <w:drawing>
          <wp:inline xmlns:a="http://schemas.openxmlformats.org/drawingml/2006/main" xmlns:pic="http://schemas.openxmlformats.org/drawingml/2006/picture">
            <wp:extent cx="5269484" cy="5724000"/>
            <wp:docPr id="1" name="Picture 1"/>
            <wp:cNvGraphicFramePr>
              <a:graphicFrameLocks noChangeAspect="1"/>
            </wp:cNvGraphicFramePr>
            <a:graphic>
              <a:graphicData uri="http://schemas.openxmlformats.org/drawingml/2006/picture">
                <pic:pic>
                  <pic:nvPicPr>
                    <pic:cNvPr id="0" name="A 44585-2023 karta.png"/>
                    <pic:cNvPicPr/>
                  </pic:nvPicPr>
                  <pic:blipFill>
                    <a:blip r:embed="rId16"/>
                    <a:stretch>
                      <a:fillRect/>
                    </a:stretch>
                  </pic:blipFill>
                  <pic:spPr>
                    <a:xfrm>
                      <a:off x="0" y="0"/>
                      <a:ext cx="526948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6186204, E 442256 i SWEREF 99 TM.</w:t>
      </w:r>
    </w:p>
    <w:p>
      <w:r>
        <w:t>I avverkningsanmälan finns fynd av 3 naturvårdsarter, varav 1 är rödlistad, 1 är fridlyst, 1 är typisk (T) och 1 är signalart (S): sydlig gyllenspindling (VU), piskbaronmossa (S, T)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Sydlig gyllenspindling (VU) </w:t>
      </w:r>
      <w:r>
        <w:t>bildar mykorrhiza med bok, i bokskog och annan ädellövskog på kalkrik, relativt torr mark. Kalavverkning, upphörande bete eller förstörelse av växtplatsen på annat sätt är de främsta hoten. Växtplatserna bör skyddas och betet fortsätta. Arten är placerad högst upp i Skogsstyrelsens värdepyramid för bedömning av skog med höga naturvärden (SLU Artdatabanken, 2024; Nitare &amp; Skogsstyrelsen, 2019).</w:t>
      </w:r>
    </w:p>
    <w:p>
      <w:r>
        <w:rPr>
          <w:b/>
        </w:rPr>
        <w:t>Piskbaronmossa</w:t>
      </w:r>
      <w:r>
        <w:t xml:space="preserve"> indikerar skog med lång kontinuitet och biotoper med höga naturvärden. Den växer mest i skuggig skogsmiljö, antingen i äldre ädellövskog på till exempel gammelträd eller i branter där det finns neutrala eller basiska bergarter. Piskbaronmossa är typisk art för </w:t>
      </w:r>
      <w:r>
        <w:rPr>
          <w:i/>
        </w:rPr>
        <w:t>9020 Nordlig ädellövskog, 9080 Lövsumpskog, 9130 Näringsrik bokskog, 9160 Näringsrik ekskog, 9180 Ädellövskog i branter</w:t>
      </w:r>
      <w:r>
        <w:t xml:space="preserve"> och</w:t>
      </w:r>
      <w:r>
        <w:rPr>
          <w:i/>
        </w:rPr>
        <w:t xml:space="preserve"> 9750 Svämlövskog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