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12576-2023 i Kristianstads kommun</w:t>
      </w:r>
    </w:p>
    <w:p>
      <w:r>
        <w:t>Detta klagomål behandlar höga naturvärden i avverkningsanmälan A 12576-2023 i Kristianstads kommun som inkom 2023-03-15 och omfattar 5,8 ha.</w:t>
      </w:r>
    </w:p>
    <w:p>
      <w:pPr>
        <w:pStyle w:val="Caption"/>
      </w:pPr>
      <w:r>
        <w:drawing>
          <wp:inline xmlns:a="http://schemas.openxmlformats.org/drawingml/2006/main" xmlns:pic="http://schemas.openxmlformats.org/drawingml/2006/picture">
            <wp:extent cx="5486400" cy="4849148"/>
            <wp:docPr id="1" name="Picture 1"/>
            <wp:cNvGraphicFramePr>
              <a:graphicFrameLocks noChangeAspect="1"/>
            </wp:cNvGraphicFramePr>
            <a:graphic>
              <a:graphicData uri="http://schemas.openxmlformats.org/drawingml/2006/picture">
                <pic:pic>
                  <pic:nvPicPr>
                    <pic:cNvPr id="0" name="A 12576-2023 karta.png"/>
                    <pic:cNvPicPr/>
                  </pic:nvPicPr>
                  <pic:blipFill>
                    <a:blip r:embed="rId16"/>
                    <a:stretch>
                      <a:fillRect/>
                    </a:stretch>
                  </pic:blipFill>
                  <pic:spPr>
                    <a:xfrm>
                      <a:off x="0" y="0"/>
                      <a:ext cx="5486400" cy="48491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6197475, E 433800 i SWEREF 99 TM.</w:t>
      </w:r>
    </w:p>
    <w:p>
      <w:r>
        <w:t>I avverkningsanmälan finns fynd av 3 naturvårdsarter, varav 3 är rödlistade: bukspolsnäcka (VU), tandsnäcka (VU) och lamellsnäcka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Bukspolsnäcka (VU)</w:t>
      </w:r>
      <w:r>
        <w:t xml:space="preserve"> förekommer framför allt i äldre ädellövskog med t.ex. ask, lind, bok och sälg, oftast på närings- och kalkrikt underlag. Ofta finns arten också i fuktiga raviner och vid den skuggiga basen av rasbranter. Den förekommer även i rika askskogskärr och mer sällsynt i fuktig, näringsrik ängsgranblandskog. Permanent rörligt ytvatten tycks vara en förutsättning. Tillgång på lågor är gynnsamt och arten kräver normalt trädkontinuitet, även om denna utgörs av ett mindre antal träd. På grund av artens stora känslighet och att populationerna ofta är små och geografiskt begränsade utgör alla typer av skogliga ingrepp på och nära artens lokaler direkta hot. Ingrepp (skogsdikning, körning med skogsmaskiner) som förändrar lokalernas hydrologi är allvarliga hot. Även uthuggning och blädning (gallring av fullvuxen skog), vilket förändrar lokalens skuggighet utgör hot. Områden med kända förekomster bör avsättas som reservat eller ges någon typ av skydd. Vid skogliga ingrepp i angränsande områden bör en skyddszon lämnas. Hydrologin i områden där arten förekommer får inte ändras genom dikning eller körning med skogsmaskiner och liknande (SLU Artdatabanken, 2026).</w:t>
      </w:r>
    </w:p>
    <w:p>
      <w:r>
        <w:rPr>
          <w:b/>
        </w:rPr>
        <w:t xml:space="preserve">Lamellsnäcka (NT) </w:t>
      </w:r>
      <w:r>
        <w:t>kan i Sverige karakteriseras som en mycket krävande, i huvudsak suboceanisk bokskogsart. Den förekommer främst i de nederbördsrika områdena i sydvästra delen av landet, huvudsakligen i fuktiga, mer orörda, ursprungliga bok-, bokbland- och ädellövskogar. Alla typer av skogliga ingrepp, t.o.m. skogsbete, utgör hot mot arten och många lokaler som återbesökts under 2000-talet har varit förstörda av skogsbruk. Eftersom arten är extremt känslig för skogliga ingrepp och förändring av hydrologin är alla typer av skogsbruk, även i mildare former som blädning ett stort hot mot arten. Det samma gäller alla ingrepp som stör kontinuiteten och orördheten i markförnaskiktet, även skogsbete. Alla åtgärder som ändrar hydrologin mot torrare förhållanden, exempelvis skogsdikning, utgör allvarliga hot. Områden med kända populationer bör i så stor omfattning som möjligt skyddas genom reservatsbildning. Lamellsnäcka är globalt rödlistad som sårbar (VU) vilket innebär att Sverige har ett internationellt ansvar för arten (SLU Artdatabanken, 2026; IUCN,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