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9599-2025 i Kristianstads kommun</w:t>
      </w:r>
    </w:p>
    <w:p>
      <w:r>
        <w:t>Detta klagomål behandlar höga naturvärden i avverkningsanmälan A 9599-2025 i Kristianstads kommun som inkom 2025-02-27 och omfattar 25,7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9599-2025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6221901, E 460912 i SWEREF 99 TM.</w:t>
      </w:r>
    </w:p>
    <w:p>
      <w:r>
        <w:t>I och inom 22 meter från avverkningsanmälan finns fynd av 12 naturvårdsarter, varav 6 är rödlistade, 1 är fridlyst, 4 är typiska (T) och 5 är signalarter (S): sydlig taggfingersvamp (VU), bokkantlav (NT, T), bokvårtlav (NT, T), lövfagerspindling (NT), rävspindling (NT), silkesspindling (NT), fällmossa (S, T), jättesvampmal (S), klippfrullania (S, T), lönnlav (S), rutbläcksvamp (S)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taggfingersvamp (VU) </w:t>
      </w:r>
      <w:r>
        <w:t>är en mycket sällsynt art som</w:t>
      </w:r>
      <w:r>
        <w:rPr>
          <w:b/>
        </w:rPr>
        <w:t xml:space="preserve"> </w:t>
      </w:r>
      <w:r>
        <w:t>bildar mykorrhiza med bok i äldre kalkbokskog och i enstaka fall även med ek eller lind. Den hotas främst av skogsavverkning. Arten förekommer enbart i mycket exklusiva bokskogsmiljöer och samtliga lokaler bör skyddas (SLU Artdatabanken, 2024).</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Lövfagerspindling (NT) </w:t>
      </w:r>
      <w:r>
        <w:t>är en sydlig, värmeälskande svamp som huvudsakligen bildar ektomykorrhiza med bok på kalkrik mark. De svenska växtplatserna utgör näringsrika äldre bokskogar som utgör växtplatser för ett stort antal rödlistade arter. Arten förekommer enbart i exklusiva bokskogsmiljöer och samtliga lokaler med arten bör skyddas (SLU Artdatabanken, 2024).</w:t>
      </w:r>
    </w:p>
    <w:p>
      <w:r>
        <w:rPr>
          <w:b/>
        </w:rPr>
        <w:t>Rävspindling (NT)</w:t>
      </w:r>
      <w:r>
        <w:t xml:space="preserve"> bildar mykorrhiza med bok i ängsbokskog på kalkrik mark. Avverkningar och markberedning i bokskog är negativt för arten. Artens nuvarande status bör utredas och lokaler där arten fortfarande förekommer måste undantas från skogsbruk. Örtrik bokskog på kalkrik mark är en synnerligen skyddsvärd biotop. För att öka möjligheterna för rävspindling att överleva bör alla sådana bokbestånd av någorlunda ostörd karaktär undantas från skogsbruk (SLU Artdatabanken, 2024).</w:t>
      </w:r>
    </w:p>
    <w:p>
      <w:r>
        <w:rPr>
          <w:b/>
        </w:rPr>
        <w:t>Silkesspindling (NT)</w:t>
      </w:r>
      <w:r>
        <w:t xml:space="preserve"> bildar mykorrhiza med bok och mera sällan ek och avenbok. Växer främst i bokskog, sällsynt även i löväng och blandad ädellövskog på torr och kalkrik mark. Arten missgynnas av omfattande avverkningar eller andra genomgripande förändringar. De fåtal lokaler från vilken silkesspindling är känd måste säkerställas. För att gynna arten på sikt bör större arealer av bokskog på kalkrik mark skyddas, särskilt bestånd med hög ålder och lång kontinuitet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