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62067-2022 i Kristianstads kommun</w:t>
      </w:r>
    </w:p>
    <w:p>
      <w:r>
        <w:t>Detta klagomål behandlar höga naturvärden i avverkningsanmälan A 62067-2022 i Kristianstads kommun som inkom 2022-12-23 och omfattar 3,0 ha.</w:t>
      </w:r>
    </w:p>
    <w:p>
      <w:pPr>
        <w:pStyle w:val="Caption"/>
      </w:pPr>
      <w:r>
        <w:drawing>
          <wp:inline xmlns:a="http://schemas.openxmlformats.org/drawingml/2006/main" xmlns:pic="http://schemas.openxmlformats.org/drawingml/2006/picture">
            <wp:extent cx="5486400" cy="4726600"/>
            <wp:docPr id="1" name="Picture 1"/>
            <wp:cNvGraphicFramePr>
              <a:graphicFrameLocks noChangeAspect="1"/>
            </wp:cNvGraphicFramePr>
            <a:graphic>
              <a:graphicData uri="http://schemas.openxmlformats.org/drawingml/2006/picture">
                <pic:pic>
                  <pic:nvPicPr>
                    <pic:cNvPr id="0" name="A 62067-2022 karta.png"/>
                    <pic:cNvPicPr/>
                  </pic:nvPicPr>
                  <pic:blipFill>
                    <a:blip r:embed="rId16"/>
                    <a:stretch>
                      <a:fillRect/>
                    </a:stretch>
                  </pic:blipFill>
                  <pic:spPr>
                    <a:xfrm>
                      <a:off x="0" y="0"/>
                      <a:ext cx="5486400" cy="47266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6219470, E 462501 i SWEREF 99 TM.</w:t>
      </w:r>
    </w:p>
    <w:p>
      <w:r>
        <w:t>I och inom 25 meter från avverkningsanmälan finns fynd av 7 naturvårdsarter, varav 2 är rödlistade och 5 är signalarter (S): olivjordtunga (NT), rödbrun jordtunga (NT), blodvaxing (S), papegojvaxing (S), plattad jordtunga (S), vitvaxing agg. (S) och ängsfingersvamp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Olivjordtunga (NT) </w:t>
      </w:r>
      <w:r>
        <w:t>växer på ogödslad gräsmark och mosaikartade fodermarker på såväl sur som basisk berggrund. I södra Sveriges kalktrakter växer den även sällsynt på kalkrik mulljord i ädellövskog. Avverkning i ädellövskog missgynnar arten. Lövskogslokaler där arten är känd bör undantas från storskaligt skogsbruk. Olivjordtunga är placerad högst upp i Skogsstyrelsens värdepyramid för bedömning av skog med höga naturvärden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