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2837-2023 i Kristianstads kommun</w:t>
      </w:r>
    </w:p>
    <w:p>
      <w:r>
        <w:t>Detta dokument behandlar höga naturvärden i avverkningsanmälan A 2837-2023 i Kristianstads kommun. Denna avverkningsanmälan inkom 2023-01-19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bechsteins fladdermus (EN, §4a), bokkantlav (NT), bokvårtlav (NT), fransfladdermus (NT, §4a), liten lundlav (NT), fällmossa (S), dvärgpipistrell (§4a), skogsduva (§4), större brunfladdermus (§4a), vattenfladdermus (§4a)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bechsteins fladdermus (EN, §4a), fransfladdermus (NT, §4a), dvärgpipistrell (§4a), skogsduva (§4), större brunfladdermus (§4a),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Bechsteins fladdermus (EN, §4a)</w:t>
      </w:r>
      <w:r>
        <w:t xml:space="preserve"> är en starkt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Den är känslig för fragmentering och det är särskilt viktigt att bevara miljöer med äldre bok- och avenbokskogar med många ihåliga 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Bechsteins fladdermus – ekologi samt krav på livsmiljön</w:t>
      </w:r>
    </w:p>
    <w:p>
      <w:r>
        <w:t>Bechsteins fladdermus (EN, §4a) är en starkt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2024;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2024).</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bechsteins fladdermus</w:t>
      </w:r>
    </w:p>
    <w:p>
      <w:r>
        <w:t xml:space="preserve">IUCN, 2016. </w:t>
      </w:r>
      <w:r>
        <w:rPr>
          <w:i/>
        </w:rPr>
        <w:t>Myotis bechsteinii</w:t>
      </w:r>
      <w:r>
        <w:t>. The IUCN Red List of Threatened Species.</w:t>
      </w:r>
    </w:p>
    <w:p>
      <w:r>
        <w:t>SLU Artdatabanken, 2024.</w:t>
      </w:r>
      <w:r>
        <w:rPr>
          <w:i/>
        </w:rPr>
        <w:t xml:space="preserve"> Artfakta: Bechsteins fladdermus (Myotis bechsteinii).</w:t>
      </w:r>
      <w:r>
        <w:t xml:space="preserve"> https://artfakta.se/taxa/100085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