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bechsteins fladdermus (EN, §4a), bokkantlav (NT), bokvårtlav (NT), fransfladdermus (NT, §4a), liten lundlav (NT), fällmossa (S), dvärgpipistrell (§4a), skogsduva (§4),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bechsteins fladdermus (EN, §4a), fransfladdermus (NT, §4a), dvärgpipistrell (§4a), skogsduva (§4), större brunfladdermus (§4a),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Bechsteins fladdermus (EN, §4a)</w:t>
      </w:r>
      <w:r>
        <w:t xml:space="preserve"> är en starkt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Den är känslig för fragmentering och det är särskilt viktigt att bevara miljöer med äldre bok- och avenbokskogar med många ihåliga 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Bechsteins fladdermus – ekologi samt krav på livsmiljön</w:t>
      </w:r>
    </w:p>
    <w:p>
      <w:r>
        <w:t>Bechsteins fladdermus (EN, §4a) är en starkt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2024;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2024).</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bechsteins fladdermus</w:t>
      </w:r>
    </w:p>
    <w:p>
      <w:r>
        <w:t xml:space="preserve">IUCN, 2016. </w:t>
      </w:r>
      <w:r>
        <w:rPr>
          <w:i/>
        </w:rPr>
        <w:t>Myotis bechsteinii</w:t>
      </w:r>
      <w:r>
        <w:t>. The IUCN Red List of Threatened Species.</w:t>
      </w:r>
    </w:p>
    <w:p>
      <w:r>
        <w:t>SLU Artdatabanken, 2024.</w:t>
      </w:r>
      <w:r>
        <w:rPr>
          <w:i/>
        </w:rPr>
        <w:t xml:space="preserve"> Artfakta: Bechsteins fladdermus (Myotis bechsteinii).</w:t>
      </w:r>
      <w:r>
        <w:t xml:space="preserve"> https://artfakta.se/taxa/100085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