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54761-2025 i Kristianstads kommun</w:t>
      </w:r>
    </w:p>
    <w:p>
      <w:r>
        <w:t>Denna tillsynsbegäran behandlar höga naturvärden i avverkningsanmälan A 54761-2025 i Kristianstads kommun som inkom 2025-11-05 och omfattar 8,5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54761-2025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6197418, E 432455 i SWEREF 99 TM.</w:t>
      </w:r>
    </w:p>
    <w:p>
      <w:r>
        <w:t>I och inom 17 meter från avverkningsanmälan finns fynd av 7 naturvårdsarter, varav 4 är rödlistade, 3 är fridlysta, 1 är typisk (T) och 1 är signalart (S): mindre bastardsvärmare (VU), björktrast (NT, §4), bronssopp (NT), lamellsnäcka (NT), lömsk flugsvamp (S),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Bronssopp (NT) </w:t>
      </w:r>
      <w:r>
        <w:t>är en värmekrävande art som bildar mykorrhiza med bok och ek, på kalkrik mark i ek- och bokskog samt hagmark, löväng och park. Kalkrika ädellövsmiljöer har generellt höga naturvärden och bör bevaras och skötas med traditionella metoder så långt som möjligt. Skogsbruksåtgärder på växtplatser bör undvikas och bestånd där arten förekommer bör helst bibehålla sin trädslagsblandning och åldersstruktur (SLU Artdatabanken, 2024).</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