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22738-2026 i Kristianstads kommun</w:t>
      </w:r>
    </w:p>
    <w:p>
      <w:r>
        <w:t>Detta klagomål behandlar höga naturvärden i avverkningsanmälan A 22738-2026 i Kristianstads kommun som inkom 2026-05-15 och omfattar 6,6 ha.</w:t>
      </w:r>
    </w:p>
    <w:p>
      <w:pPr>
        <w:pStyle w:val="Caption"/>
      </w:pPr>
      <w:r>
        <w:drawing>
          <wp:inline xmlns:a="http://schemas.openxmlformats.org/drawingml/2006/main" xmlns:pic="http://schemas.openxmlformats.org/drawingml/2006/picture">
            <wp:extent cx="5486400" cy="4792982"/>
            <wp:docPr id="1" name="Picture 1"/>
            <wp:cNvGraphicFramePr>
              <a:graphicFrameLocks noChangeAspect="1"/>
            </wp:cNvGraphicFramePr>
            <a:graphic>
              <a:graphicData uri="http://schemas.openxmlformats.org/drawingml/2006/picture">
                <pic:pic>
                  <pic:nvPicPr>
                    <pic:cNvPr id="0" name="A 22738-2026 karta.png"/>
                    <pic:cNvPicPr/>
                  </pic:nvPicPr>
                  <pic:blipFill>
                    <a:blip r:embed="rId16"/>
                    <a:stretch>
                      <a:fillRect/>
                    </a:stretch>
                  </pic:blipFill>
                  <pic:spPr>
                    <a:xfrm>
                      <a:off x="0" y="0"/>
                      <a:ext cx="5486400" cy="4792982"/>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6218913, E 445064 i SWEREF 99 TM.</w:t>
      </w:r>
    </w:p>
    <w:p>
      <w:r>
        <w:t>I och inom 1 meter från avverkningsanmälan finns fynd av 6 naturvårdsarter, varav 1 är rödlistad, 1 är fridlyst, 4 är typiska (T) och 2 är signalarter (S): grönsångare (NT, §4), rostfläck (S, T), västlig hakmossa (S), ekorrbär (T), glansfläck (T) och skogsstjärna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Ekorrbär </w:t>
      </w:r>
      <w:r>
        <w:t xml:space="preserve">är typisk art för </w:t>
      </w:r>
      <w:r>
        <w:rPr>
          <w:i/>
        </w:rPr>
        <w:t xml:space="preserve">9190 Näringsfattig ekskog </w:t>
      </w:r>
      <w:r>
        <w:t>(SLU Artdatabanken, 2025).</w:t>
      </w:r>
    </w:p>
    <w:p>
      <w:r>
        <w:rPr>
          <w:b/>
        </w:rPr>
        <w:t>Glansfläck</w:t>
      </w:r>
      <w:r>
        <w:t xml:space="preserve"> signalerar skyddsvärda lövträdsbestånd som ofta hyser ett flertal rödlistade lavar. Många växtplatser har långvarig trädkontinuitet. Laven indikerar främst miljöer med konstant hög och jämn luftfuktighet och ostörda markvattenförhållanden. Glansfläck är typisk art för </w:t>
      </w:r>
      <w:r>
        <w:rPr>
          <w:i/>
        </w:rPr>
        <w:t>9190 Näringsfattig ekskog</w:t>
      </w:r>
      <w:r>
        <w:t xml:space="preserve"> (Nitare &amp; Skogsstyrelsen, 2000; SLU Artdatabanken, 2025).</w:t>
      </w:r>
    </w:p>
    <w:p>
      <w:r>
        <w:rPr>
          <w:b/>
        </w:rPr>
        <w:t xml:space="preserve">Skogsstjärna </w:t>
      </w:r>
      <w:r>
        <w:t xml:space="preserve">är typisk art för </w:t>
      </w:r>
      <w:r>
        <w:rPr>
          <w:i/>
        </w:rPr>
        <w:t xml:space="preserve">9190 Näringsfattig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