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klagomål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6181454, E 448382 i SWEREF 99 TM.</w:t>
      </w:r>
    </w:p>
    <w:p>
      <w:r>
        <w:t>I och inom 4 meter från avverkningsanmälan finns fynd av 2 naturvårdsarter, varav 2 är rödlistade: fläckig glansspinnare (NT) och krattsnabbvinge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Fläckig glansspinnare (NT)</w:t>
      </w:r>
      <w:r>
        <w:t xml:space="preserve"> förekommer i frodiga eller fuktiga skogsmarker och påträffas i mindre gläntor, i skogsbryn, längs skogsvägar och ofta i ädellövskogar där solen lyser in under en del av dagen. Den kan också uppehålla sig i skuggiga skogspartier runt gläntor. Fjärilen är huvudsakligen aktiv på dagen, främst på eftermiddagen då den ofta flyger. Arten hotas på de få kända lokalerna främst av slumpmässiga faktorer. De allvarligaste hoten är sannolikt kalavverkning av omgivande skog och igenväxning eller igenplantering av gläntor (SLU Artdatabanken, 2026).</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