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19312-2026 i Kristianstads kommun</w:t>
      </w:r>
    </w:p>
    <w:p>
      <w:r>
        <w:t>Detta klagomål behandlar höga naturvärden i avverkningsanmälan A 19312-2026 i Kristianstads kommun som inkom 2026-04-21 och omfattar 3,9 ha.</w:t>
      </w:r>
    </w:p>
    <w:p>
      <w:pPr>
        <w:pStyle w:val="Caption"/>
      </w:pPr>
      <w:r>
        <w:drawing>
          <wp:inline xmlns:a="http://schemas.openxmlformats.org/drawingml/2006/main" xmlns:pic="http://schemas.openxmlformats.org/drawingml/2006/picture">
            <wp:extent cx="5486400" cy="4864231"/>
            <wp:docPr id="1" name="Picture 1"/>
            <wp:cNvGraphicFramePr>
              <a:graphicFrameLocks noChangeAspect="1"/>
            </wp:cNvGraphicFramePr>
            <a:graphic>
              <a:graphicData uri="http://schemas.openxmlformats.org/drawingml/2006/picture">
                <pic:pic>
                  <pic:nvPicPr>
                    <pic:cNvPr id="0" name="A 19312-2026 karta.png"/>
                    <pic:cNvPicPr/>
                  </pic:nvPicPr>
                  <pic:blipFill>
                    <a:blip r:embed="rId16"/>
                    <a:stretch>
                      <a:fillRect/>
                    </a:stretch>
                  </pic:blipFill>
                  <pic:spPr>
                    <a:xfrm>
                      <a:off x="0" y="0"/>
                      <a:ext cx="5486400" cy="486423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6208119, E 439117 i SWEREF 99 TM.</w:t>
      </w:r>
    </w:p>
    <w:p>
      <w:r>
        <w:t>Inom 24 meter från avverkningsanmälan finns fynd av 5 naturvårdsarter, varav 1 är fridlyst, 4 är typiska (T) och 1 är signalart (S): rostfläck (S, T), glansfläck (T), skriftlav (T), vitsippa (T) och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Glansfläck</w:t>
      </w:r>
      <w:r>
        <w:t xml:space="preserve"> signalerar skyddsvärda lövträdsbestånd som ofta hyser ett flertal rödlistade lavar. Många växtplatser har långvarig trädkontinuitet. Laven indikerar främst miljöer med konstant hög och jämn luftfuktighet och ostörda markvattenförhållanden. Glansfläck är typisk art för </w:t>
      </w:r>
      <w:r>
        <w:rPr>
          <w:i/>
        </w:rPr>
        <w:t>9190 Näringsfattig ekskog</w:t>
      </w:r>
      <w:r>
        <w:t xml:space="preserve"> (Nitare &amp; Skogsstyrelsen, 2000; SLU Artdatabanken, 2025).</w:t>
      </w:r>
    </w:p>
    <w:p>
      <w:r>
        <w:rPr>
          <w:b/>
        </w:rPr>
        <w:t>Skriftlav</w:t>
      </w:r>
      <w:r>
        <w:t xml:space="preserve"> är typisk art för </w:t>
      </w:r>
      <w:r>
        <w:rPr>
          <w:i/>
        </w:rPr>
        <w:t xml:space="preserve">9190 Näringsfattig ekskog </w:t>
      </w:r>
      <w:r>
        <w:t>(SLU Artdatabanken, 2025).</w:t>
      </w:r>
    </w:p>
    <w:p>
      <w:r>
        <w:rPr>
          <w:b/>
        </w:rPr>
        <w:t>Vitsippa</w:t>
      </w:r>
      <w:r>
        <w:t xml:space="preserve"> är typisk art för </w:t>
      </w:r>
      <w:r>
        <w:rPr>
          <w:i/>
        </w:rPr>
        <w:t xml:space="preserve">9040 Fjällbjörkskog </w:t>
      </w:r>
      <w:r>
        <w:t>(SLU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