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31847-2023 i Kristianstads kommun</w:t>
      </w:r>
    </w:p>
    <w:p>
      <w:r>
        <w:t>Detta klagomål behandlar höga naturvärden i avverkningsanmälan A 31847-2023 i Kristianstads kommun som inkom 2023-06-29 och omfattar 2,2 ha.</w:t>
      </w:r>
    </w:p>
    <w:p>
      <w:pPr>
        <w:pStyle w:val="Caption"/>
      </w:pPr>
      <w:r>
        <w:drawing>
          <wp:inline xmlns:a="http://schemas.openxmlformats.org/drawingml/2006/main" xmlns:pic="http://schemas.openxmlformats.org/drawingml/2006/picture">
            <wp:extent cx="5486400" cy="4764307"/>
            <wp:docPr id="1" name="Picture 1"/>
            <wp:cNvGraphicFramePr>
              <a:graphicFrameLocks noChangeAspect="1"/>
            </wp:cNvGraphicFramePr>
            <a:graphic>
              <a:graphicData uri="http://schemas.openxmlformats.org/drawingml/2006/picture">
                <pic:pic>
                  <pic:nvPicPr>
                    <pic:cNvPr id="0" name="A 31847-2023 karta.png"/>
                    <pic:cNvPicPr/>
                  </pic:nvPicPr>
                  <pic:blipFill>
                    <a:blip r:embed="rId16"/>
                    <a:stretch>
                      <a:fillRect/>
                    </a:stretch>
                  </pic:blipFill>
                  <pic:spPr>
                    <a:xfrm>
                      <a:off x="0" y="0"/>
                      <a:ext cx="5486400" cy="4764307"/>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6213009, E 434736 i SWEREF 99 TM.</w:t>
      </w:r>
    </w:p>
    <w:p>
      <w:r>
        <w:t>I och inom 23 meter från avverkningsanmälan finns fynd av 6 naturvårdsarter, varav 1 är rödlistad, 1 är fridlyst, 3 är typiska (T) och 1 är signalart (S): skogsalm (EN), skogsbräsma (S), skogsbingel (T), skriftlav (T), storrams (T) och skogsduva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Skogsbingel</w:t>
      </w:r>
      <w:r>
        <w:t xml:space="preserve"> är typisk art för </w:t>
      </w:r>
      <w:r>
        <w:rPr>
          <w:i/>
        </w:rPr>
        <w:t xml:space="preserve">9050 Näringsrik granskog, 9020 Nordlig ädellövskog, 9130 Näringsrik bokskog, 9160 Näringsrik ekskog </w:t>
      </w:r>
      <w:r>
        <w:t>och</w:t>
      </w:r>
      <w:r>
        <w:rPr>
          <w:i/>
        </w:rPr>
        <w:t xml:space="preserve"> 9180 Ädellövskog i branter</w:t>
      </w:r>
      <w:r>
        <w:t>. På skogsbingel kan i lundar och lövskogar den rödlistade arten bingeljordloppa (NT) påträffas. Bingeljordloppans larver äter på värdväxtens rötter. Fullbildade individer påträffas främst under vår och försommar. Den är mycket lokal i sitt uppträdande eftersom arten har svagt utvecklade flygvingar och saknar flygförmåga (SLU Artdatabanken, 2026).</w:t>
      </w:r>
    </w:p>
    <w:p>
      <w:r>
        <w:rPr>
          <w:b/>
        </w:rPr>
        <w:t>Skriftlav</w:t>
      </w:r>
      <w:r>
        <w:t xml:space="preserve"> är typisk art för </w:t>
      </w:r>
      <w:r>
        <w:rPr>
          <w:i/>
        </w:rPr>
        <w:t xml:space="preserve">9190 Näringsfattig ekskog </w:t>
      </w:r>
      <w:r>
        <w:t>(SLU Artdatabanken, 2025).</w:t>
      </w:r>
    </w:p>
    <w:p>
      <w:r>
        <w:rPr>
          <w:b/>
        </w:rPr>
        <w:t>Storrams</w:t>
      </w:r>
      <w:r>
        <w:t xml:space="preserve"> är typisk art för </w:t>
      </w:r>
      <w:r>
        <w:rPr>
          <w:i/>
        </w:rPr>
        <w:t xml:space="preserve">9020 Nordlig ädellövskog, 9130 Näringsrik bokskog </w:t>
      </w:r>
      <w:r>
        <w:t>och</w:t>
      </w:r>
      <w:r>
        <w:rPr>
          <w:i/>
        </w:rPr>
        <w:t xml:space="preserve"> 9160 Näringsrik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