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28342-2024 i Kristianstads kommun</w:t>
      </w:r>
    </w:p>
    <w:p>
      <w:r>
        <w:t>Denna tillsynsbegäran behandlar höga naturvärden i avverkningsanmälan A 28342-2024 i Kristianstads kommun som inkom 2024-07-04 och omfattar 3,2 ha.</w:t>
      </w:r>
    </w:p>
    <w:p>
      <w:pPr>
        <w:pStyle w:val="Caption"/>
      </w:pPr>
      <w:r>
        <w:drawing>
          <wp:inline xmlns:a="http://schemas.openxmlformats.org/drawingml/2006/main" xmlns:pic="http://schemas.openxmlformats.org/drawingml/2006/picture">
            <wp:extent cx="5486400" cy="4641758"/>
            <wp:docPr id="1" name="Picture 1"/>
            <wp:cNvGraphicFramePr>
              <a:graphicFrameLocks noChangeAspect="1"/>
            </wp:cNvGraphicFramePr>
            <a:graphic>
              <a:graphicData uri="http://schemas.openxmlformats.org/drawingml/2006/picture">
                <pic:pic>
                  <pic:nvPicPr>
                    <pic:cNvPr id="0" name="A 28342-2024 karta.png"/>
                    <pic:cNvPicPr/>
                  </pic:nvPicPr>
                  <pic:blipFill>
                    <a:blip r:embed="rId16"/>
                    <a:stretch>
                      <a:fillRect/>
                    </a:stretch>
                  </pic:blipFill>
                  <pic:spPr>
                    <a:xfrm>
                      <a:off x="0" y="0"/>
                      <a:ext cx="5486400" cy="46417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6197645, E 425954 i SWEREF 99 TM.</w:t>
      </w:r>
    </w:p>
    <w:p>
      <w:r>
        <w:t>I avverkningsanmälan finns fynd av 1 naturvårdsarter, varav 1 är rödlistad: knölspindel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Knölspindel (NT)</w:t>
      </w:r>
      <w:r>
        <w:t xml:space="preserve"> lever i äldre, ljusluckiga blandskogar, en skogstyp som har minskat mycket under senare decennier, till följd av upphört skogsbete och avverkning av gamla, heterogena skogsbestånd. Arten spinner mycket stora nät med relativt kraftig silkestråd, ofta på tall eller mellan enbuskar. En minskning av populationen pågår eller förväntas ske. Minskningen avser förekomstarea, kvalitén på artens habitat och antalet lokalområden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