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2890-2025 i Kristianstads kommun</w:t>
      </w:r>
    </w:p>
    <w:p>
      <w:r>
        <w:t>Denna tillsynsbegäran behandlar höga naturvärden i samrådsanmälan S 2890-2025 i Kristianstads kommun som inkom 2025-10-16 och omfattar 53,7 ha.</w:t>
      </w:r>
    </w:p>
    <w:p>
      <w:pPr>
        <w:pStyle w:val="Caption"/>
      </w:pPr>
      <w:r>
        <w:drawing>
          <wp:inline xmlns:a="http://schemas.openxmlformats.org/drawingml/2006/main" xmlns:pic="http://schemas.openxmlformats.org/drawingml/2006/picture">
            <wp:extent cx="5486400" cy="3721702"/>
            <wp:docPr id="1" name="Picture 1"/>
            <wp:cNvGraphicFramePr>
              <a:graphicFrameLocks noChangeAspect="1"/>
            </wp:cNvGraphicFramePr>
            <a:graphic>
              <a:graphicData uri="http://schemas.openxmlformats.org/drawingml/2006/picture">
                <pic:pic>
                  <pic:nvPicPr>
                    <pic:cNvPr id="0" name="S 2890-2025 karta.png"/>
                    <pic:cNvPicPr/>
                  </pic:nvPicPr>
                  <pic:blipFill>
                    <a:blip r:embed="rId16"/>
                    <a:stretch>
                      <a:fillRect/>
                    </a:stretch>
                  </pic:blipFill>
                  <pic:spPr>
                    <a:xfrm>
                      <a:off x="0" y="0"/>
                      <a:ext cx="5486400" cy="3721702"/>
                    </a:xfrm>
                    <a:prstGeom prst="rect"/>
                  </pic:spPr>
                </pic:pic>
              </a:graphicData>
            </a:graphic>
          </wp:inline>
        </w:drawing>
      </w:r>
    </w:p>
    <w:p>
      <w:pPr>
        <w:pStyle w:val="Caption"/>
        <w:spacing w:after="240"/>
      </w:pPr>
      <w:r>
        <w:t>Figur 1. Fyndplatser för naturvårdsarter i och inom 21 meter från samrådsanmälan. Markörer utan svart kant är placerade på fyndplatsen. Markörer med svart kant är placerade vid sidan av fyndplatsen och har ett svart streck som visar fyndplatsens exakta position. Kartans mittpunktskoordinat är N 6191704, E 439484 i SWEREF 99 TM.</w:t>
      </w:r>
    </w:p>
    <w:p>
      <w:r>
        <w:t>I och inom 21 meter från samrådsanmälan finns fynd av 4 naturvårdsarter, varav 3 är rödlistade, 3 är typiska (T) och 1 är signalart (S): småvänderot (VU), bokvårtlav (NT, T), lunglav (NT, T) och havstulpanlav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Bokvårtlav (NT)</w:t>
      </w:r>
      <w:r>
        <w:t xml:space="preserve"> växer på barken av gamla bokar samt avenbok och är en bra signalart för skogsbestånd med höga naturvärden. Gamla bokskogar där laven förekommer i särskilt rikliga bestånd bör bevaras. Bokvårtlav är typisk art för </w:t>
      </w:r>
      <w:r>
        <w:rPr>
          <w:i/>
        </w:rPr>
        <w:t>9110 Näringsfattig bokskog, 9130 Näringsrik bokskog</w:t>
      </w:r>
      <w:r>
        <w:t xml:space="preserve"> och </w:t>
      </w:r>
      <w:r>
        <w:rPr>
          <w:i/>
        </w:rPr>
        <w:t>9160 Näringsrik ekskog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Havstulpanlav är typisk art för </w:t>
      </w:r>
      <w:r>
        <w:rPr>
          <w:i/>
        </w:rPr>
        <w:t xml:space="preserve">9020 Nordlig ädellövskog, 9070 Trädklädd betesmark, 9110 Näringsfattig bokskog, 9130 Näringsrik bokskog, 9160 Näringsrik ekskog, 9180 Ädellövskog i branter </w:t>
      </w:r>
      <w:r>
        <w:t>och</w:t>
      </w:r>
      <w:r>
        <w:rPr>
          <w:i/>
        </w:rPr>
        <w:t xml:space="preserve"> 9190 Näringsfattig ekskog </w:t>
      </w:r>
      <w:r>
        <w:t>(Nitare &amp; Skogsstyrelsen, 2019; SLU Artdatabanken, 2025).</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