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1314-2026 i Kristianstads kommun</w:t>
      </w:r>
    </w:p>
    <w:p>
      <w:r>
        <w:t>Denna tillsynsbegäran behandlar höga naturvärden i samrådsanmälan S 1314-2026 i Kristianstads kommun som inkom 2026-05-05 och omfattar 24,6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S 1314-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6197940, E 433237 i SWEREF 99 TM.</w:t>
      </w:r>
    </w:p>
    <w:p>
      <w:r>
        <w:t>I samrådsanmälan finns fynd av 4 naturvårdsarter, varav 4 är rödlistade och 1 är fridlyst: bukspolsnäcka (VU), tandsnäcka (VU), gulsparv (NT, §4) och lamellsnäcka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Bukspolsnäcka (VU)</w:t>
      </w:r>
      <w:r>
        <w:t xml:space="preserve"> förekommer framför allt i äldre ädellövskog med t.ex. ask, lind, bok och sälg, oftast på närings- och kalkrikt underlag. Ofta finns arten också i fuktiga raviner och vid den skuggiga basen av rasbranter. Den förekommer även i rika askskogskärr och mer sällsynt i fuktig, näringsrik ängsgranblandskog. Permanent rörligt ytvatten tycks vara en förutsättning. Tillgång på lågor är gynnsamt och arten kräver normalt trädkontinuitet, även om denna utgörs av ett mindre antal träd. På grund av artens stora känslighet och att populationerna ofta är små och geografiskt begränsade utgör alla typer av skogliga ingrepp på och nära artens lokaler direkta hot. Ingrepp (skogsdikning, körning med skogsmaskiner) som förändrar lokalernas hydrologi är allvarliga hot. Även uthuggning och blädning (gallring av fullvuxen skog), vilket förändrar lokalens skuggighet utgör hot. Områden med kända förekomster bör avsättas som reservat eller ges någon typ av skydd. Vid skogliga ingrepp i angränsande områden bör en skyddszon lämnas. Hydrologin i områden där arten förekommer får inte ändras genom dikning eller körning med skogsmaskiner och liknande (SLU Artdatabanken, 2026).</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