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1415-2024 i Kristianstads kommun</w:t>
      </w:r>
    </w:p>
    <w:p>
      <w:r>
        <w:t>Detta dokument behandlar höga naturvärden i avverkningsanmälan A 1415-2024 i Kristianstads kommun. Denna avverkningsanmälan inkom 2024-01-12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1415-2024 karta.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6218112, E 449535 i SWEREF 99 TM.</w:t>
      </w:r>
    </w:p>
    <w:p>
      <w:r>
        <w:rPr>
          <w:b/>
        </w:rPr>
        <w:t xml:space="preserve">Rutbläcksvamp </w:t>
      </w:r>
      <w:r>
        <w:t>är en värmeälskande förnasvamp som växer i gamla och örtrika ädellövskogar på kalkrik mark, särskilt ängsbokskog. Arten signalerar skogsmiljöer med höga naturvärden och förekommer ofta tillsammans med många ovanliga och rödlistade arter. Utanför Skåne och Halland är den mycket krävande i sitt val av växtplats och påträffas nästan enbart i exklusiva ädellövskogar på kalk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