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44585-2023 i Kristianstads kommun</w:t>
      </w:r>
    </w:p>
    <w:p>
      <w:r>
        <w:t>Detta dokument behandlar höga naturvärden i avverkningsanmälan A 44585-2023 i Kristianstads kommun. Denna avverkningsanmälan inkom 2023-09-20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sydlig gyllenspindling (VU), piskbaronmossa (S) och kopparödla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7014"/>
            <wp:docPr id="1" name="Picture 1"/>
            <wp:cNvGraphicFramePr>
              <a:graphicFrameLocks noChangeAspect="1"/>
            </wp:cNvGraphicFramePr>
            <a:graphic>
              <a:graphicData uri="http://schemas.openxmlformats.org/drawingml/2006/picture">
                <pic:pic>
                  <pic:nvPicPr>
                    <pic:cNvPr id="0" name="A 44585-2023 karta.png"/>
                    <pic:cNvPicPr/>
                  </pic:nvPicPr>
                  <pic:blipFill>
                    <a:blip r:embed="rId16"/>
                    <a:stretch>
                      <a:fillRect/>
                    </a:stretch>
                  </pic:blipFill>
                  <pic:spPr>
                    <a:xfrm>
                      <a:off x="0" y="0"/>
                      <a:ext cx="5486400" cy="4427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6186204, E 442256 i SWEREF 99 TM.</w:t>
      </w:r>
    </w:p>
    <w:p>
      <w:r>
        <w:rPr>
          <w:b/>
        </w:rPr>
        <w:t xml:space="preserve">Sydlig gyllenspindling (VU) </w:t>
      </w:r>
      <w:r>
        <w:t>bildar mykorrhiza med bok, i bokskog och annan ädellövskog på kalkrik, relativt torr mark. Kalavverkning, upphörande bete eller förstörelse av växtplatsen på annat sätt är de främsta hoten. Växtplatserna bör skyddas och betet fortsätta. Arten är placerad högst upp i Skogsstyrelsens värdepyramid för bedömning av skog med höga naturvärden (SLU Artdatabanken, 2024; Nitare &amp; Skogsstyrelsen, 2019).</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