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9599-2025 i Kristianstads kommun</w:t>
      </w:r>
    </w:p>
    <w:p>
      <w:r>
        <w:t>Detta dokument behandlar höga naturvärden i avverkningsanmälan A 9599-2025 i Kristianstads kommun. Denna avverkningsanmälan inkom 2025-02-27 00:00:00 och omfattar 25,7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silkesspindling (VU), bokkantlav (NT), bokvårtlav (NT), lövfagerspindling (NT), fällmossa (S) och rutbläcksvamp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9599-2025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6221901, E 460912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Lövfagerspindling (NT) </w:t>
      </w:r>
      <w:r>
        <w:t>är en sydlig, värmeälskande svamp som huvudsakligen bildar ektomykorrhiza med bok på kalkrik mark. De svenska växtplatserna utgör näringsrika äldre bokskogar som utgör växtplatser för ett stort antal rödlistade arter. Arten förekommer enbart i exklusiva bokskogsmiljöer och samtliga lokaler med arten bör skyddas (SLU Artdatabanken, 2024).</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