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53161-2023 i Kristianstads kommun</w:t>
      </w:r>
    </w:p>
    <w:p>
      <w:r>
        <w:t>Detta dokument behandlar höga naturvärden i avverkningsanmälan A 53161-2023 i Kristianstads kommun. Denna avverkningsanmälan inkom 2023-10-23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grönticka (EN), silkesspindling (VU), grå kantarell (NT), gulprickig vaxskivling (NT), kruskantarell (S), myskmadra (S), rutbläcksvamp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2837"/>
            <wp:docPr id="1" name="Picture 1"/>
            <wp:cNvGraphicFramePr>
              <a:graphicFrameLocks noChangeAspect="1"/>
            </wp:cNvGraphicFramePr>
            <a:graphic>
              <a:graphicData uri="http://schemas.openxmlformats.org/drawingml/2006/picture">
                <pic:pic>
                  <pic:nvPicPr>
                    <pic:cNvPr id="0" name="A 53161-2023 karta.png"/>
                    <pic:cNvPicPr/>
                  </pic:nvPicPr>
                  <pic:blipFill>
                    <a:blip r:embed="rId16"/>
                    <a:stretch>
                      <a:fillRect/>
                    </a:stretch>
                  </pic:blipFill>
                  <pic:spPr>
                    <a:xfrm>
                      <a:off x="0" y="0"/>
                      <a:ext cx="5486400" cy="299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6223047, E 455360 i SWEREF 99 TM.</w:t>
      </w:r>
    </w:p>
    <w:p>
      <w:r>
        <w:rPr>
          <w:b/>
        </w:rPr>
        <w:t xml:space="preserve">Grå kantarell (NT) </w:t>
      </w:r>
      <w:r>
        <w:t>bildar mykorrhiza med ädellövträd och hassel i kalkrik eller lerig ängsbokskog på sluttande mark eller i rasbranter, men också på mulljord i kalkrika lövängar och lundar med ek och hassel. Lokaler för grå kantarell hyser ofta många andra rödlistade arter och bör utvärderas för områdesskydd och/eller specifika skötselrekommendationer. Växtplatser i ädellövskog undantas från skogsbruk och en skötselplan upprättas. Arten är placerad högst upp i Skogsstyrelsens värdepyramid för bedömning av skog med höga naturvärden (SLU Artdatabanken, 2024; Nitare &amp; Skogsstyrelsen, 2019).</w:t>
      </w:r>
    </w:p>
    <w:p>
      <w:r>
        <w:rPr>
          <w:b/>
        </w:rPr>
        <w:t>Grönticka (EN)</w:t>
      </w:r>
      <w:r>
        <w:t xml:space="preserve"> är en mycket sällsynt och starkt hotad art som bildar mykorrhiza med ek och bok. Den indikerar varma ek- eller bokskogar av sällsynt typ där det föreligger mycket långvarig trädkontinuitet och höga naturvärden. Arten omfattas av ett åtgärdsprogram för hotade arter och är placerad högst upp i Skogsstyrelsens värdepyramid för bedömning av skog med höga naturvärden. Skogar som hyser arten måste skyddas och undantas från rationell skogsskötsel (SLU Artdatabanken, 2024; Nitare &amp; Skogsstyrelsen, 2019; Svensson &amp; Ryberg, 2008).</w:t>
      </w:r>
    </w:p>
    <w:p>
      <w:r>
        <w:rPr>
          <w:b/>
        </w:rPr>
        <w:t xml:space="preserve">Gulprickig vaxskivling (NT) </w:t>
      </w:r>
      <w:r>
        <w:t>bildar mykorrhiza med bl.a. ek, bok, lind och gran och växer på kalkrik fuktig mark i ädellövskog, hässlen med ek och norrut i ängsgranskog. Arten är placerad högst upp i Skogsstyrelsens värdepyramid för bedömning av skog med höga naturvärden och på lokalerna hittas som regel många andra sällsynta svampar.  Fyndplatser med stora bestånd och lokaler i ängsgranskog bör säkerställas och undantas från skogsbruk (SLU Artdatabanken, 2024; Nitare &amp; Skogsstyrelsen, 2019).</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