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samrådsanmälan S 2042-2026 i Kristianstads kommun</w:t>
      </w:r>
    </w:p>
    <w:p>
      <w:r>
        <w:t>Detta klagomål behandlar höga naturvärden i samrådsanmälan S 2042-2026 i Kristianstads kommun som inkom 2026-07-10 och omfattar 0,0 ha.</w:t>
      </w:r>
    </w:p>
    <w:p>
      <w:pPr>
        <w:pStyle w:val="Caption"/>
      </w:pPr>
      <w:r>
        <w:drawing>
          <wp:inline xmlns:a="http://schemas.openxmlformats.org/drawingml/2006/main" xmlns:pic="http://schemas.openxmlformats.org/drawingml/2006/picture">
            <wp:extent cx="5486400" cy="4551147"/>
            <wp:docPr id="1" name="Picture 1"/>
            <wp:cNvGraphicFramePr>
              <a:graphicFrameLocks noChangeAspect="1"/>
            </wp:cNvGraphicFramePr>
            <a:graphic>
              <a:graphicData uri="http://schemas.openxmlformats.org/drawingml/2006/picture">
                <pic:pic>
                  <pic:nvPicPr>
                    <pic:cNvPr id="0" name="S 2042-2026 karta.png"/>
                    <pic:cNvPicPr/>
                  </pic:nvPicPr>
                  <pic:blipFill>
                    <a:blip r:embed="rId16"/>
                    <a:stretch>
                      <a:fillRect/>
                    </a:stretch>
                  </pic:blipFill>
                  <pic:spPr>
                    <a:xfrm>
                      <a:off x="0" y="0"/>
                      <a:ext cx="5486400" cy="4551147"/>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6200843, E 427954 i SWEREF 99 TM.</w:t>
      </w:r>
    </w:p>
    <w:p>
      <w:r>
        <w:t>I samrådsanmälan finns fynd av 3 naturvårdsarter, varav 2 är typiska (T) och 3 är signalarter (S): brun nållav (S), guldlockmossa (S, T) och klippfrullania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Guldlockmossa</w:t>
      </w:r>
      <w:r>
        <w:t xml:space="preserve"> växer på solexponerade, basiska klippor och block samt på skrovlig bark vid basen av ädellövträd med rik bark, ofta på gamla ekar, bokar och andra ädellövträd som står öppet i bryn. Särskilt högt signalvärde har den i norra Sverige där den sällsynt kan påträffas i sydväxtberg på klippor med basiska bergarter. Guldlockmossa är typisk art för </w:t>
      </w:r>
      <w:r>
        <w:rPr>
          <w:i/>
        </w:rPr>
        <w:t xml:space="preserve">9110 Näringsfattig bokskog, 9160 Näringsrik ekskog, 9180 Ädellövskog i branter </w:t>
      </w:r>
      <w:r>
        <w:t xml:space="preserve">och </w:t>
      </w:r>
      <w:r>
        <w:rPr>
          <w:i/>
        </w:rPr>
        <w:t xml:space="preserve">9190 Näringsfattig ekskog </w:t>
      </w:r>
      <w:r>
        <w:t>(Nitare &amp; Skogsstyrelsen, 2019; SLU Artdatabanken, 2025).</w:t>
      </w:r>
    </w:p>
    <w:p>
      <w:r>
        <w:rPr>
          <w:b/>
        </w:rPr>
        <w:t>Klippfrullania</w:t>
      </w:r>
      <w:r>
        <w:t xml:space="preserve"> är i centrala, östra och norra Sverige en bra signalart. Den påträffas där i skyddsvärda skogsmiljöer med lång kontinuitet av gamla träd i halvöppen terräng, samt trädklädda bergbranter med ett mikroklimat som har konstant hög och jämn luftfuktighet året om. Klippfrullania är typisk art för </w:t>
      </w:r>
      <w:r>
        <w:rPr>
          <w:i/>
        </w:rPr>
        <w:t xml:space="preserve">9020 Nordlig ädellövskog, 9110 Näringsfattig bokskog, 9130 Näringsrik bokskog, 9160 Näringsrik ekskog, 9180 Ädellövskog i branter </w:t>
      </w:r>
      <w:r>
        <w:t xml:space="preserve">och </w:t>
      </w:r>
      <w:r>
        <w:rPr>
          <w:i/>
        </w:rPr>
        <w:t xml:space="preserve">9190 Näringsfattig ekskog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