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11693-2025 i Kristianstads kommun</w:t>
      </w:r>
    </w:p>
    <w:p>
      <w:r>
        <w:t>Denna tillsynsbegäran behandlar höga naturvärden i avverkningsanmälan A 11693-2025 i Kristianstads kommun som inkom 2025-03-11 och omfattar 2,2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1693-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6180111, E 443253 i SWEREF 99 TM.</w:t>
      </w:r>
    </w:p>
    <w:p>
      <w:r>
        <w:t>I och inom 25 meter från avverkningsanmälan finns fynd av 11 naturvårdsarter, varav 9 är rödlistade, 3 är typiska (T) och 2 är signalarter (S): blå lökspindling (VU), kejsarspindling (VU), nunnespindling (VU), själlandsspindling (VU), bokvårtlav (NT, T), cinnoberspindling (NT), juvelspindling (NT), rävspindling (NT), stiftklotterlav (NT, T), igelkottsröksvamp (S)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lökspindling (VU) </w:t>
      </w:r>
      <w:r>
        <w:t>bildar mykorrhiza med bok i örtrik bokskog på kalkrik mark. Arten är en indikator på rik ängsbokskog som brukar innehålla en rad mycket sällsynta och rödlistade svamparter. Kända lokaler bör skyddas så att de inte riskerar att förstöras av skogliga åtgärder som gallring och/eller markberedning (SLU Artdatabanken, 2024).</w:t>
      </w:r>
    </w:p>
    <w:p>
      <w:r>
        <w:rPr>
          <w:b/>
        </w:rPr>
        <w:t xml:space="preserve">Kejsarspindling (VU) </w:t>
      </w:r>
      <w:r>
        <w:t>bildar mykorrhiza med bok i ängsbokskog på torr och kalkrik mark. Kalavverkning, kraftig gallring eller andra genomgripande förändringar i bokskog missgynnar arten. De få kända lokalerna, vilka också är växtplats för en rad andra mycket sällsynta svampar, måste omgående säkerställas. För att artens överlevnad i landet skall kunna säkerställas måste fler bokskogar på kalkrik mark undantas från skogsbruk eller skötas med stor försiktighet och kalavverkning undvikas helt. Kejsarspindling är globalt rödlistad som nära hotad (NT) vilket innebär att Sverige har ett internationellt ansvar för arten (SLU Artdatabanken, 2024; IUCN, 2021).</w:t>
      </w:r>
    </w:p>
    <w:p>
      <w:r>
        <w:rPr>
          <w:b/>
        </w:rPr>
        <w:t>Nunnespindling (VU)</w:t>
      </w:r>
      <w:r>
        <w:t xml:space="preserve"> bildar mykorrhiza med bok i bokskog på kalkrik mark och förefaller vara knuten till ängsbokskogar med lång trädkontinuitet. Populationen bedöms som mycket liten och därmed känslig för alla typer av förändringar på dess fåtaliga växtplatser. Artens sällsynthet motiverar att alla kända lokaler skyddas (SLU Artdatabanken, 2026).</w:t>
      </w:r>
    </w:p>
    <w:p>
      <w:r>
        <w:rPr>
          <w:b/>
        </w:rPr>
        <w:t xml:space="preserve">Själlandsspindling (VU) </w:t>
      </w:r>
      <w:r>
        <w:t>är en ytterst sällsynt art som bildar mykorrhiza med bok på starkt kalkrik mark i bokdominerad ädellövskog. Främsta hotet är skogsbruksåtgärder som exempelvis röjningar och avverkningar. Om svampen påträffas på nya lokaler bör dessa få ett formellt skydd. Artens växtplatser får inte utsättas för huggningar eller andra kraftiga störningar som förändrar miljön (SLU Artdatabanken, 2024).</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