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1418-2024 i Kristianstads kommun</w:t>
      </w:r>
    </w:p>
    <w:p>
      <w:r>
        <w:t>Denna tillsynsbegäran behandlar höga naturvärden i avverkningsanmälan A 1418-2024 i Kristianstads kommun som inkom 2024-01-12 och omfattar 0,7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1418-2024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6218084, E 449596 i SWEREF 99 TM.</w:t>
      </w:r>
    </w:p>
    <w:p>
      <w:r>
        <w:t>I och inom 22 meter från avverkningsanmälan finns fynd av 2 naturvårdsarter, varav 2 är rödlistade och 1 är typisk (T): gropticka (NT, T) och stenticka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Stenticka (NT) </w:t>
      </w:r>
      <w:r>
        <w:t>är en sällsynt art knuten till luckig ädellövskog och trädbärande gräsmark. Fruktkropparna bildas oftast på lågor, stubbar och nerfallna grenar, någon gång på döda, avbrutna men kvarsittande grenar, men kan också påträffas på naken jord. Den hotas främst av minskande tillgång på gamla, döende lövträd och kvarliggande död ved. Områden där stenticka kan tänkas förekomma, t.ex. äldre lövskog med rikligt med död ved, bör inte utnyttjas för skogsbruk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