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27942-2023 i Kristianstads kommun</w:t>
      </w:r>
    </w:p>
    <w:p>
      <w:r>
        <w:t>Detta dokument behandlar höga naturvärden i avverkningsanmälan A 27942-2023 i Kristianstads kommun. Denna avverkningsanmälan inkom 2023-06-21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fältpiplärka (EN, §4), tofsäxing (EN), hedblomster (VU, §8), backtimjan (NT), hedsidenbi (NT), trädlärka (§4) och törnskata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4811"/>
            <wp:docPr id="1" name="Picture 1"/>
            <wp:cNvGraphicFramePr>
              <a:graphicFrameLocks noChangeAspect="1"/>
            </wp:cNvGraphicFramePr>
            <a:graphic>
              <a:graphicData uri="http://schemas.openxmlformats.org/drawingml/2006/picture">
                <pic:pic>
                  <pic:nvPicPr>
                    <pic:cNvPr id="0" name="A 27942-2023 karta.png"/>
                    <pic:cNvPicPr/>
                  </pic:nvPicPr>
                  <pic:blipFill>
                    <a:blip r:embed="rId16"/>
                    <a:stretch>
                      <a:fillRect/>
                    </a:stretch>
                  </pic:blipFill>
                  <pic:spPr>
                    <a:xfrm>
                      <a:off x="0" y="0"/>
                      <a:ext cx="5486400" cy="4864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6181328, E 445213 i SWEREF 99 TM.</w:t>
      </w:r>
    </w:p>
    <w:p>
      <w:pPr>
        <w:pStyle w:val="Heading1"/>
      </w:pPr>
      <w:r>
        <w:t>Fridlysta arter</w:t>
      </w:r>
    </w:p>
    <w:p>
      <w:r>
        <w:t>Följande fridlysta arter har sina livsmiljöer och växtplatser i den avverkningsanmälda skogen: fältpiplärka (EN, §4), hedblomster (VU, §8), trädlärka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