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som inkom 2023-10-23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13 naturvårdsarter hittats: grönticka (EN), fläckfingersvamp (VU), laxfingersvamp (VU), grå kantarell (NT), gulprickig vaxskivling (NT), silkesspindling (NT), vårärt (NT, T), kruskantarell (S), lömsk flugsvamp (S), myskmadra (S, T), rutbläcksvamp (S), blåsippa (T, §9) och gullviva (§9).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2"/>
      </w:pPr>
      <w:r>
        <w:t>Fridlysta arter</w:t>
      </w:r>
    </w:p>
    <w:p>
      <w:r>
        <w:t>Följande fridlysta arter har sina livsmiljöer och växtplatser i den avverkningsanmälda skogen: blåsippa (T,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Laxfingersvamp (VU) </w:t>
      </w:r>
      <w:r>
        <w:t xml:space="preserve">är en mycket sällsynt art som bildar mykorrhiza med bok i kalkrik bokskog. </w:t>
        <w:br/>
        <w:t>Främsta hotet utgörs av avverkning av värdträd eller exploatering av växtplatserna. Samtliga växtplatser bör skyddas och undantas all form av avverkning. Arten är placerad högst upp i Skogsstyrelsens värdepyramid för bedömning av skog med höga naturvärden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