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5950-2024 i Kristianstads kommun</w:t>
      </w:r>
    </w:p>
    <w:p>
      <w:r>
        <w:t>Detta dokument behandlar höga naturvärden i avverkningsanmälan A 5950-2024 i Kristianstads kommun som inkom 2024-02-13 och omfattar 0,7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614284"/>
            <wp:docPr id="1" name="Picture 1"/>
            <wp:cNvGraphicFramePr>
              <a:graphicFrameLocks noChangeAspect="1"/>
            </wp:cNvGraphicFramePr>
            <a:graphic>
              <a:graphicData uri="http://schemas.openxmlformats.org/drawingml/2006/picture">
                <pic:pic>
                  <pic:nvPicPr>
                    <pic:cNvPr id="0" name="A 5950-2024 karta.png"/>
                    <pic:cNvPicPr/>
                  </pic:nvPicPr>
                  <pic:blipFill>
                    <a:blip r:embed="rId16"/>
                    <a:stretch>
                      <a:fillRect/>
                    </a:stretch>
                  </pic:blipFill>
                  <pic:spPr>
                    <a:xfrm>
                      <a:off x="0" y="0"/>
                      <a:ext cx="5486400" cy="4614284"/>
                    </a:xfrm>
                    <a:prstGeom prst="rect"/>
                  </pic:spPr>
                </pic:pic>
              </a:graphicData>
            </a:graphic>
          </wp:inline>
        </w:drawing>
      </w:r>
    </w:p>
    <w:p>
      <w:pPr>
        <w:pStyle w:val="Caption"/>
        <w:spacing w:after="240"/>
      </w:pPr>
      <w:r>
        <w:t>Figur 1. Fyndplatser för naturvårdsarter i och inom 15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6207838, E 438897 i SWEREF 99 TM.</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och inom 15 meter från avverkningsanmälan har följande 7 naturvårdsarter hittats: entita (NT, T, §4), gullpudra (NT, T), havstulpanlav (S, T), lundvårlök (S, T), rostfläck (S, T), västlig hakmossa (S) och vanlig padda (§6). Av dessa är 2 rödlistade. För rödlistade arter har rödlistekategorin angivits inom parentes. Arter som är signalarter enligt Skogsstyrelsen har markerats med (S).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entita (NT, T, §4) och vanlig padda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t>I BILAGA 1 finns mer detaljerad information om ekologi samt krav på livsmiljö hos fridlysta arter.</w:t>
      </w:r>
    </w:p>
    <w:p>
      <w:pPr>
        <w:pStyle w:val="Heading2"/>
      </w:pPr>
      <w:r>
        <w:t>Övriga naturvårdsarter</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Lundvårlök</w:t>
      </w:r>
      <w:r>
        <w:t xml:space="preserve"> visar på skyddsvärda ädellövskogar och lundar, men också på örtrika alkärr och andra lövskogsmiljöer med höga naturvärden. Många av dagens förekomster har en tydlig reliktkaraktär och är troligen mycket gamla kvarlevor från en tid då ädellövskogen hade större utbredning underden postglaciala värmetiden (stenålder-bronsåler). Lundvårlök är typisk art för </w:t>
      </w:r>
      <w:r>
        <w:rPr>
          <w:i/>
        </w:rPr>
        <w:t xml:space="preserve">9750 Svämlövskog </w:t>
      </w:r>
      <w:r>
        <w:t xml:space="preserve">och </w:t>
      </w:r>
      <w:r>
        <w:rPr>
          <w:i/>
        </w:rPr>
        <w:t xml:space="preserve">9760 Svämädellövskog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entita (NT, T, §4), gullpudra (NT, T), havstulpanlav (S, T), lundvårlök (S, T) och rostfläck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