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4615-2024 i Kristianstads kommun</w:t>
      </w:r>
    </w:p>
    <w:p>
      <w:r>
        <w:t>Denna tillsynsbegäran behandlar höga naturvärden i avverkningsanmälan A 4615-2024 i Kristianstads kommun som inkom 2024-02-06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6180471, E 439169 i SWEREF 99 TM.</w:t>
      </w:r>
    </w:p>
    <w:p>
      <w:r>
        <w:t>I avverkningsanmälan finns fynd av 1 naturvårdsarter, varav 1 är rödlistad och 1 är typisk (T): skogslysing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Skogslysing (NT)</w:t>
      </w:r>
      <w:r>
        <w:t xml:space="preserve"> växer i fuktig ängsskog, oftast i lövskog och förekommer främst i Skåne men även sällsynt i Småland. Skogslysingslokaler kan snabbt utplånas genom slutavverkning och granplantering eller genom dikning. Arten hör till de arter som bör påverka lokaliseringen av naturreservat av fuktig ängsskogstyp. Skogslysing 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