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43497-2025 i Kristianstads kommun</w:t>
      </w:r>
    </w:p>
    <w:p>
      <w:r>
        <w:t>Detta dokument behandlar höga naturvärden i avverkningsanmälan A 43497-2025 i Kristianstads kommun. Denna avverkningsanmälan inkom 2025-09-11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bukspolsnäcka (VU), bokvårtlav (NT), orangepudrad klotterlav (NT), skogsveronika (NT), tandsnäcka (NT), platt fjädermossa (S), strutbräken (S) och trubbfjädermossa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8170"/>
            <wp:docPr id="1" name="Picture 1"/>
            <wp:cNvGraphicFramePr>
              <a:graphicFrameLocks noChangeAspect="1"/>
            </wp:cNvGraphicFramePr>
            <a:graphic>
              <a:graphicData uri="http://schemas.openxmlformats.org/drawingml/2006/picture">
                <pic:pic>
                  <pic:nvPicPr>
                    <pic:cNvPr id="0" name="A 43497-2025 karta.png"/>
                    <pic:cNvPicPr/>
                  </pic:nvPicPr>
                  <pic:blipFill>
                    <a:blip r:embed="rId16"/>
                    <a:stretch>
                      <a:fillRect/>
                    </a:stretch>
                  </pic:blipFill>
                  <pic:spPr>
                    <a:xfrm>
                      <a:off x="0" y="0"/>
                      <a:ext cx="5486400" cy="5058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6196057, E 436326 i SWEREF 99 TM.</w:t>
      </w:r>
    </w:p>
    <w:p>
      <w:r>
        <w:rPr>
          <w:b/>
        </w:rPr>
        <w:t>Bokvårtlav (NT)</w:t>
      </w:r>
      <w:r>
        <w:t xml:space="preserve"> växer på barken av gamla bokar samt avenbok och är en bra signalart för skogsbestånd med höga naturvärden. Gamla bokskogar där laven förekommer i särskilt rikliga bestånd bör bevaras (SLU Artdatabanken, 2024; Nitare &amp; Skogsstyrelsen, 2019).</w:t>
      </w:r>
    </w:p>
    <w:p>
      <w:r>
        <w:rPr>
          <w:b/>
        </w:rPr>
        <w:t xml:space="preserve">Skogsveronika (NT) </w:t>
      </w:r>
      <w:r>
        <w:t>visar på genuina, rika ädellövskogar som under långa perioder varit trädbevuxna och länge bibehållit hög mark- och luftfuktighet. Samtliga förekomster indikerar exklusiva miljöer med höga naturvärden (Nitare &amp; Skogsstyrelsen, 2019).</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