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5531-2021 i Kristianstads kommun</w:t>
      </w:r>
    </w:p>
    <w:p>
      <w:r>
        <w:t>Detta klagomål behandlar höga naturvärden i samrådsanmälan S 5531-2021 i Kristianstads kommun som inkom 2021-08-24 och omfattar 9,0 ha.</w:t>
      </w:r>
    </w:p>
    <w:p>
      <w:pPr>
        <w:pStyle w:val="Caption"/>
      </w:pPr>
      <w:r>
        <w:drawing>
          <wp:inline xmlns:a="http://schemas.openxmlformats.org/drawingml/2006/main" xmlns:pic="http://schemas.openxmlformats.org/drawingml/2006/picture">
            <wp:extent cx="5486400" cy="2630078"/>
            <wp:docPr id="1" name="Picture 1"/>
            <wp:cNvGraphicFramePr>
              <a:graphicFrameLocks noChangeAspect="1"/>
            </wp:cNvGraphicFramePr>
            <a:graphic>
              <a:graphicData uri="http://schemas.openxmlformats.org/drawingml/2006/picture">
                <pic:pic>
                  <pic:nvPicPr>
                    <pic:cNvPr id="0" name="S 5531-2021 karta.png"/>
                    <pic:cNvPicPr/>
                  </pic:nvPicPr>
                  <pic:blipFill>
                    <a:blip r:embed="rId16"/>
                    <a:stretch>
                      <a:fillRect/>
                    </a:stretch>
                  </pic:blipFill>
                  <pic:spPr>
                    <a:xfrm>
                      <a:off x="0" y="0"/>
                      <a:ext cx="5486400" cy="26300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6221272, E 459589 i SWEREF 99 TM.</w:t>
      </w:r>
    </w:p>
    <w:p>
      <w:r>
        <w:t>I samrådsanmälan finns fynd av 5 naturvårdsarter, varav 1 är rödlistad, 1 är fridlyst, 3 är typiska (T) och 3 är signalarter (S): praktfingersvamp (EN), blåmossa (S, T), jättesvampmal (S), klippfrullania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Praktfingersvamp (EN)</w:t>
      </w:r>
      <w:r>
        <w:t xml:space="preserve"> är en starkt hotad art som bildar mykorrhiza med bok, ek, avenbok och ev. hassel, i ängsbokskog, ek-hasselskog och hässlen med inslag av ek på kalkrik mark. En sällsynt sydlig art, knuten till exklusiva miljöer. Främsta hotet utgörs av avverkning eller exploatering av växtplatserna. Praktfingersvamp är så ovanlig att samtliga lokaler bör omfattas av någon form av områdesskydd. Arten är placerad högst upp i Skogsstyrelsens värdepyramid för bedömning av skog med höga naturvärden (SLU Artdatabanken, 2026;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