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Grönticka (EN)</w:t>
      </w:r>
      <w:r>
        <w:t xml:space="preserve"> är en mycket sällsynt och starkt hotad art som bildar mykorrhiza med ek och bok. Den indikerar varma ek- eller bokskogar av sällsynt typ där det föreligger mycket långvarig trädkontinuitet och höga naturvärden. Arten omfattas av ett åtgärdsprogram för hotade arter och är placerad högst upp i Skogsstyrelsens värdepyramid för bedömning av skog med höga naturvärden. Skogar som hyser arten måste skyddas och undantas från rationell skogsskötsel (SLU Artdatabanken, 2024; Nitare &amp; Skogsstyrelsen, 2019; Svensson &amp; Ryberg, 2008).</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Rutbläcksvamp </w:t>
      </w:r>
      <w:r>
        <w:t>är en värmeälskande förnasvamp som växer i gamla och örtrika ädellövskogar på kalkrik mark, särskilt ängsbokskog. Arten signalerar skogsmiljöer med höga naturvärden och förekommer ofta tillsammans med många ovanliga och rödlistade arter. Utanför Skåne och Halland är den mycket krävande i sitt val av växtplats och påträffas nästan enbart i exklusiva ädellövskogar på kalk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