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53161-2023 i Kristianstads kommun</w:t>
      </w:r>
    </w:p>
    <w:p>
      <w:r>
        <w:t>Detta klagomål behandlar höga naturvärden i avverkningsanmälan A 53161-2023 i Kristianstads kommun som inkom 2023-10-23 och omfattar 4,3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53161-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6223047, E 455360 i SWEREF 99 TM.</w:t>
      </w:r>
    </w:p>
    <w:p>
      <w:r>
        <w:t>I och inom 21 meter från avverkningsanmälan finns fynd av 13 naturvårdsarter, varav 7 är rödlistade, 2 är fridlysta, 3 är typiska (T) och 4 är signalarter (S): grönticka (EN), fläckfingersvamp (VU), laxfingersvamp (VU), grå kantarell (NT), gulprickig vaxskivling (NT), silkesspindling (NT), vårärt (NT, T), kruskantarell (S), lömsk flugsvamp (S), myskmadra (S, T), rutbläcksvamp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Grönticka (EN)</w:t>
      </w:r>
      <w:r>
        <w:t xml:space="preserve"> är en mycket sällsynt och starkt hotad art som bildar mykorrhiza med ek och bok. Den indikerar varma ek- eller bokskogar av sällsynt typ där det föreligger mycket långvarig trädkontinuitet och höga naturvärden. Arten omfattas av ett åtgärdsprogram för hotade arter och är placerad högst upp i Skogsstyrelsens värdepyramid för bedömning av skog med höga naturvärden. Skogar som hyser arten måste skyddas och undantas från rationell skogsskötsel (SLU Artdatabanken, 2024; Nitare &amp; Skogsstyrelsen, 2019; Svensson &amp; Ryberg, 2008).</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Laxfingersvamp (VU) </w:t>
      </w:r>
      <w:r>
        <w:t xml:space="preserve">är en mycket sällsynt art som bildar mykorrhiza med bok i kalkrik bokskog. </w:t>
        <w:br/>
        <w:t>Främsta hotet utgörs av avverkning av värdträd eller exploatering av växtplatserna. Samtliga växtplatser bör skyddas och undantas all form av avverkning. Arten är placerad högst upp i Skogsstyrelsens värdepyramid för bedömning av skog med höga naturvärden (SLU Artdatabanken, 2024; Nitare &amp; Skogsstyrelsen, 2019).</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