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2774-2023 i Kristianstads kommun</w:t>
      </w:r>
    </w:p>
    <w:p>
      <w:r>
        <w:t>Detta klagomål behandlar höga naturvärden i samrådsanmälan S 2774-2023 i Kristianstads kommun som inkom 2023-08-22 och omfattar 0,9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S 2774-2023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6203173, E 463206 i SWEREF 99 TM.</w:t>
      </w:r>
    </w:p>
    <w:p>
      <w:r>
        <w:t>I och inom 13 meter från samrådsanmälan finns fynd av 9 naturvårdsarter, varav 5 är rödlistade, 1 är fridlyst, 5 är typiska (T) och 3 är signalarter (S): blek kraterlav (VU), ekpricklav (VU), stare (VU, §4), gammelekslav (NT, T), stiftklotterlav (NT, T), grå skärelav (S), guldlockmossa (S, T), platt fjädermossa (S, T) och olivklotterlav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Olivklotterlav </w:t>
      </w:r>
      <w:r>
        <w:t xml:space="preserve">är typisk art för </w:t>
      </w:r>
      <w:r>
        <w:rPr>
          <w:i/>
        </w:rPr>
        <w:t xml:space="preserve">9110 Näringsfattig bokskog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