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557-2023 i Kristianstads kommun</w:t>
      </w:r>
    </w:p>
    <w:p>
      <w:r>
        <w:t>Detta klagomål behandlar höga naturvärden i samrådsanmälan S 557-2023 i Kristianstads kommun som inkom 2023-02-13 och omfattar 2,5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S 557-2023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6192838, E 442627 i SWEREF 99 TM.</w:t>
      </w:r>
    </w:p>
    <w:p>
      <w:r>
        <w:t>I samrådsanmälan finns fynd av 3 naturvårdsarter, varav 3 är rödlistade och 1 är fridlyst: tofsäxing (EN), hedblomster (VU, §8) och luktvädd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