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19439-2024 i Simrishamns kommun</w:t>
      </w:r>
    </w:p>
    <w:p>
      <w:r>
        <w:t>Denna tillsynsbegäran behandlar höga naturvärden i avverkningsanmälan A 19439-2024 i Simrishamns kommun som inkom 2024-05-17 och omfattar 3,1 ha.</w:t>
      </w:r>
    </w:p>
    <w:p>
      <w:pPr>
        <w:pStyle w:val="Caption"/>
      </w:pPr>
      <w:r>
        <w:drawing>
          <wp:inline xmlns:a="http://schemas.openxmlformats.org/drawingml/2006/main" xmlns:pic="http://schemas.openxmlformats.org/drawingml/2006/picture">
            <wp:extent cx="4819175" cy="5724000"/>
            <wp:docPr id="1" name="Picture 1"/>
            <wp:cNvGraphicFramePr>
              <a:graphicFrameLocks noChangeAspect="1"/>
            </wp:cNvGraphicFramePr>
            <a:graphic>
              <a:graphicData uri="http://schemas.openxmlformats.org/drawingml/2006/picture">
                <pic:pic>
                  <pic:nvPicPr>
                    <pic:cNvPr id="0" name="A 19439-2024 karta.png"/>
                    <pic:cNvPicPr/>
                  </pic:nvPicPr>
                  <pic:blipFill>
                    <a:blip r:embed="rId16"/>
                    <a:stretch>
                      <a:fillRect/>
                    </a:stretch>
                  </pic:blipFill>
                  <pic:spPr>
                    <a:xfrm>
                      <a:off x="0" y="0"/>
                      <a:ext cx="4819175" cy="5724000"/>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6167099, E 444793 i SWEREF 99 TM.</w:t>
      </w:r>
    </w:p>
    <w:p>
      <w:r>
        <w:t>Inom 17 meter från avverkningsanmälan finns fynd av 8 naturvårdsarter, varav 3 är rödlistade, 1 är fridlyst, 6 är typiska (T) och 4 är signalarter (S): rosa lundlav (VU, T), bokvårtlav (NT, T), stiftklotterlav (NT, T), guldlockmossa (S, T), lönnlav (S), platt fjädermossa (S, T), trädporella (S, T) och gröngöling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Rosa lundlav (VU)</w:t>
      </w:r>
      <w:r>
        <w:t xml:space="preserve"> växer på ädellövträd i gamla skogar med hög och jämn luftfuktighet och signalerar skyddsvärda ädellövskogar med lång kontinuitet. Minskningstakten uppgår till 30 (20–50) % inom 50 år och överstiger gränsvärdet för Sårbar (VU). Lokaler med rika förekomster bör skyddas. Rosa lundlav är typisk art för </w:t>
      </w:r>
      <w:r>
        <w:rPr>
          <w:i/>
        </w:rPr>
        <w:t xml:space="preserve">9020 Nordlig ädellövskog, 9110 Näringsfattig bokskog, 9130 Näringsrik bokskog </w:t>
      </w:r>
      <w:r>
        <w:t>och</w:t>
      </w:r>
      <w:r>
        <w:rPr>
          <w:i/>
        </w:rPr>
        <w:t xml:space="preserve"> 9180 Ädellövskog i branter</w:t>
      </w:r>
      <w:r>
        <w:t xml:space="preserve"> (SLU Artdatabanken, 2024; Nitare &amp; Skogsstyrelsen, 2019).</w:t>
      </w:r>
    </w:p>
    <w:p>
      <w:r>
        <w:rPr>
          <w:b/>
        </w:rPr>
        <w:t>Bokvårtlav (NT)</w:t>
      </w:r>
      <w:r>
        <w:t xml:space="preserve"> växer på barken av gamla bokar samt avenbok och är en bra signalart för skogsbestånd med höga naturvärden. Gamla bokskogar där laven förekommer i särskilt rikliga bestånd bör bevaras. Bokvårtlav är typisk art för </w:t>
      </w:r>
      <w:r>
        <w:rPr>
          <w:i/>
        </w:rPr>
        <w:t>9110 Näringsfattig bokskog, 9130 Näringsrik bokskog</w:t>
      </w:r>
      <w:r>
        <w:t xml:space="preserve"> och </w:t>
      </w:r>
      <w:r>
        <w:rPr>
          <w:i/>
        </w:rPr>
        <w:t>9160 Näringsrik ekskog</w:t>
      </w:r>
      <w:r>
        <w:t xml:space="preserve"> (SLU Artdatabanken, 2024; Nitare &amp; Skogsstyrelsen, 2019).</w:t>
      </w:r>
    </w:p>
    <w:p>
      <w:r>
        <w:rPr>
          <w:b/>
        </w:rPr>
        <w:t>Stiftklotterlav (NT)</w:t>
      </w:r>
      <w:r>
        <w:t xml:space="preserve"> är en mycket bra signalart som alltid signalerar skogsområden med höga naturvärden. Den föredrar skog med långvarig kontinuitet av gamla lövträd och permanent hög och jämn luftfuktighet. Arten missgynnas vid avverkning på eller i direkt anslutning till lokalerna. Naturskogsartade ädellövskogsbestånd med rika populationer av laven bör skyddas. Stiftklotterlav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rosa lundlav (VU, T), bokvårtlav (NT, T), stiftklotterlav (NT, T), guldlockmossa (S, T), platt fjädermossa (S, T) och trädporella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