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27430-2024 i Simrishamns kommun</w:t>
      </w:r>
    </w:p>
    <w:p>
      <w:r>
        <w:t>Detta klagomål behandlar höga naturvärden i avverkningsanmälan A 27430-2024 i Simrishamns kommun som inkom 2024-07-01 och omfattar 3,9 ha.</w:t>
      </w:r>
    </w:p>
    <w:p>
      <w:pPr>
        <w:pStyle w:val="Caption"/>
      </w:pPr>
      <w:r>
        <w:drawing>
          <wp:inline xmlns:a="http://schemas.openxmlformats.org/drawingml/2006/main" xmlns:pic="http://schemas.openxmlformats.org/drawingml/2006/picture">
            <wp:extent cx="5206676" cy="5724000"/>
            <wp:docPr id="1" name="Picture 1"/>
            <wp:cNvGraphicFramePr>
              <a:graphicFrameLocks noChangeAspect="1"/>
            </wp:cNvGraphicFramePr>
            <a:graphic>
              <a:graphicData uri="http://schemas.openxmlformats.org/drawingml/2006/picture">
                <pic:pic>
                  <pic:nvPicPr>
                    <pic:cNvPr id="0" name="A 27430-2024 karta.png"/>
                    <pic:cNvPicPr/>
                  </pic:nvPicPr>
                  <pic:blipFill>
                    <a:blip r:embed="rId16"/>
                    <a:stretch>
                      <a:fillRect/>
                    </a:stretch>
                  </pic:blipFill>
                  <pic:spPr>
                    <a:xfrm>
                      <a:off x="0" y="0"/>
                      <a:ext cx="5206676"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6164459, E 447941 i SWEREF 99 TM.</w:t>
      </w:r>
    </w:p>
    <w:p>
      <w:r>
        <w:t>I avverkningsanmälan finns fynd av 3 naturvårdsarter, varav 1 är fridlyst, 3 är typiska (T) och 2 är signalarter (S): bokoxe (S, T), rostfläck (S, T)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Bokoxe</w:t>
      </w:r>
      <w:r>
        <w:t xml:space="preserve"> är en skalbagge vars larvutveckling sker i måttligt fuktig, oftast vitrötad ved i grova stubbar och lågor av lövträd, i Norden främst bok men även ek, avenbok, alm och ask. Bokoxe är typisk art för </w:t>
      </w:r>
      <w:r>
        <w:rPr>
          <w:i/>
        </w:rPr>
        <w:t>9130 Näringsrik bokskog</w:t>
      </w:r>
      <w:r>
        <w:t xml:space="preserve"> (SLU Artdatabanken, 2025).</w:t>
      </w:r>
    </w:p>
    <w:p>
      <w:r>
        <w:rPr>
          <w:b/>
        </w:rPr>
        <w:t xml:space="preserve">Rostfläck </w:t>
      </w:r>
      <w:r>
        <w:t xml:space="preserve">signalerar framför allt höga naturvärden i östra Sverige samt norr om den naturliga norrlandsgränsen. Arten indikerar här skogsmiljöer som under lång tid haft ett konstant fuktigt mikroklimat. Rika förekomster i Norrland visar sannolikt på bestånd med långvarig kontinuitet av gamla träd. När laven påträffas i alkärr signalerar den höga naturvärden inom hela sitt utbredningsområde. Rostfläck är typisk art för </w:t>
      </w:r>
      <w:r>
        <w:rPr>
          <w:i/>
        </w:rPr>
        <w:t xml:space="preserve">9190 Näringsfattig ekskog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