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872-2025 i Simrishamns kommun</w:t>
      </w:r>
    </w:p>
    <w:p>
      <w:r>
        <w:t>Detta klagomål behandlar höga naturvärden i samrådsanmälan S 872-2025 i Simrishamns kommun som inkom 2025-03-18 och omfattar 123,4 ha.</w:t>
      </w:r>
    </w:p>
    <w:p>
      <w:pPr>
        <w:pStyle w:val="Caption"/>
      </w:pPr>
      <w:r>
        <w:drawing>
          <wp:inline xmlns:a="http://schemas.openxmlformats.org/drawingml/2006/main" xmlns:pic="http://schemas.openxmlformats.org/drawingml/2006/picture">
            <wp:extent cx="5486400" cy="4346699"/>
            <wp:docPr id="1" name="Picture 1"/>
            <wp:cNvGraphicFramePr>
              <a:graphicFrameLocks noChangeAspect="1"/>
            </wp:cNvGraphicFramePr>
            <a:graphic>
              <a:graphicData uri="http://schemas.openxmlformats.org/drawingml/2006/picture">
                <pic:pic>
                  <pic:nvPicPr>
                    <pic:cNvPr id="0" name="S 872-2025 karta.png"/>
                    <pic:cNvPicPr/>
                  </pic:nvPicPr>
                  <pic:blipFill>
                    <a:blip r:embed="rId16"/>
                    <a:stretch>
                      <a:fillRect/>
                    </a:stretch>
                  </pic:blipFill>
                  <pic:spPr>
                    <a:xfrm>
                      <a:off x="0" y="0"/>
                      <a:ext cx="5486400" cy="4346699"/>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6178142, E 444750 i SWEREF 99 TM.</w:t>
      </w:r>
    </w:p>
    <w:p>
      <w:r>
        <w:t>I och inom 25 meter från samrådsanmälan finns fynd av 25 naturvårdsarter, varav 12 är rödlistade, 15 är fridlysta, 3 är typiska (T) och 4 är signalarter (S): fältpiplärka (CR, §4), ask (EN), skogsalm (EN), hedblomster (VU, §8), kullerlöpare (VU), stor sandlilja (VU, §8), björktrast (NT, §4), desmeknopp (NT), entita (NT, T, §4), grönsångare (NT, §4), mindre purpurmätare (NT), skogsveronika (NT, T), fjällsopp (S), liten stinksvamp (S), lundbräsma (S), lömsk flugsvamp (S), spillkråka (T, §4), buskskvätta (§4), gröngöling (§4), kråka (§4), kungsfågel (§4), skogsduva (§4), trädlärka (§4), kopparödla (§6)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Skogsveronika (NT) </w:t>
      </w:r>
      <w:r>
        <w:t xml:space="preserve">visar på genuina, rika ädellövskogar som under långa perioder varit trädbevuxna och länge bibehållit hög mark- och luftfuktighet. Samtliga förekomster indikerar exklusiva miljöer med höga naturvärden. Skogsveronika är typisk art för </w:t>
      </w:r>
      <w:r>
        <w:rPr>
          <w:i/>
        </w:rPr>
        <w:t>9130 Näringsrik bokskog</w:t>
      </w:r>
      <w:r>
        <w:t xml:space="preserve">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