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2213-2023 i Ängelholms kommun</w:t>
      </w:r>
    </w:p>
    <w:p>
      <w:r>
        <w:t>Denna tillsynsbegäran behandlar höga naturvärden i samrådsanmälan S 2213-2023 i Ängelholms kommun som inkom 2023-06-22 och omfattar 107,1 ha.</w:t>
      </w:r>
    </w:p>
    <w:p>
      <w:pPr>
        <w:pStyle w:val="Caption"/>
      </w:pPr>
      <w:r>
        <w:drawing>
          <wp:inline xmlns:a="http://schemas.openxmlformats.org/drawingml/2006/main" xmlns:pic="http://schemas.openxmlformats.org/drawingml/2006/picture">
            <wp:extent cx="5486400" cy="5147035"/>
            <wp:docPr id="1" name="Picture 1"/>
            <wp:cNvGraphicFramePr>
              <a:graphicFrameLocks noChangeAspect="1"/>
            </wp:cNvGraphicFramePr>
            <a:graphic>
              <a:graphicData uri="http://schemas.openxmlformats.org/drawingml/2006/picture">
                <pic:pic>
                  <pic:nvPicPr>
                    <pic:cNvPr id="0" name="S 2213-2023 karta.png"/>
                    <pic:cNvPicPr/>
                  </pic:nvPicPr>
                  <pic:blipFill>
                    <a:blip r:embed="rId16"/>
                    <a:stretch>
                      <a:fillRect/>
                    </a:stretch>
                  </pic:blipFill>
                  <pic:spPr>
                    <a:xfrm>
                      <a:off x="0" y="0"/>
                      <a:ext cx="5486400" cy="5147035"/>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6244282, E 383127 i SWEREF 99 TM.</w:t>
      </w:r>
    </w:p>
    <w:p>
      <w:r>
        <w:t>I och inom 24 meter från samrådsanmälan finns fynd av 23 naturvårdsarter, varav 10 är rödlistade, 6 är fridlysta, 12 är typiska (T) och 9 är signalarter (S): ask (EN), pilgrimsfalk (VU, §4), rosa lundlav (VU, T), röd pysslinglav (VU), bokkantlav (NT, T), bokvårtlav (NT, T), dunmossa (NT, T), gropticka (NT, T), stiftklotterlav (NT, T), violettgrå porlav (NT), bokfjädermossa (S, T), brandticka (S), dvärghäxört (S, T), havstulpanlav (S, T), kambräken (S, T), nästrot (S, §8), platt fjädermossa (S, T), smal svampklubba (S), trädporella (S, T), havsörn (§4), kungsfågel (§4), vanlig groda (§6) och vanlig padda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Ask (EN)</w:t>
      </w:r>
      <w:r>
        <w:t xml:space="preserve"> växer naturligt på frisk till fuktig, näringsrik, mullrik mark, gärna med rörligt, ytnära grundvatten. Asken är mycket viktig för den biologiska mångfalden och den är värd för minst 213 arter i olika organismgrupper, av vilka åtminstone 42 är askspecialister, ytterligare 8 arter förekommer endast på ask och alm. Bland dessa kan nämnas asknätfjäril (EN, §4a), askvårtlav (EN) och askpraktbagge (NT). Det finns en ökad risk att dessa arter försvinner när populationen av ask minskar. Asken är kraftigt drabbad av askskottsjukan, men angripna askar bör inte avverkas eftersom det är så många andra arter knutna till ask, såväl till döda som till levande träd. Eftersom sjukdomen är vindspridd så finns den redan nästan överallt där det finns askar, och till skillnad från almsjukan så förhindrar eller försvårar man inte spridningen genom att ta bort träd. Asken är globalt rödlistad som nära hotad (NT) vilket medför ett internationellt ansvar för arten (SLU Artdatabanken, 2026; IUCN, 2017).</w:t>
      </w:r>
    </w:p>
    <w:p>
      <w:r>
        <w:rPr>
          <w:b/>
        </w:rPr>
        <w:t>Pilgrimsfalk (VU, §4)</w:t>
      </w:r>
      <w:r>
        <w:t xml:space="preserve"> är rödlistad som sårbar och är upptagen i bilaga 1 EU:s fågeldirektiv. Den har minskat med 17.5 (15–20) % under de senaste 18 åren och minskningstakten överstiger gränsvärdet för sårbar (VU). Pilgrimsfalken häckar i branta klippväggar, där boet läggs på en öppen, svåråtkomlig klipphylla. Många av de bebodda klippstupen gränsar till skogsmark. Markhäckningar förekommer relativt frekvent på stora, blöta myrar i Norrbottens län. Tidigare var häckningar i risbon, framför allt i fiskgjusebon, förhållandevis vanligt men förekommer numera sällan. Lämna en skyddszon med träd mot häckningsplatsen (klippbranten), så att häckningsmiljön behålls oförändrad. Eventuell skog i själva rasbranten lämnas orörd. Vid häckning i risbon, avstå från avverkning inom 100 meter från boet.  Hänsyn bör tas även till äldre, dokumenterade häckningsplatser även om de för tillfället inte är i bruk (SLU Artdatabanken, 2026; Skogsstyrelsen, 2016).</w:t>
      </w:r>
    </w:p>
    <w:p>
      <w:r>
        <w:rPr>
          <w:b/>
        </w:rPr>
        <w:t>Rosa lundlav (VU)</w:t>
      </w:r>
      <w:r>
        <w:t xml:space="preserve"> växer på ädellövträd i gamla skogar med hög och jämn luftfuktighet och signalerar skyddsvärda ädellövskogar med lång kontinuitet. Minskningstakten uppgår till 30 (20–50) % inom 50 år och överstiger gränsvärdet för Sårbar (VU). Lokaler med rika förekomster bör skyddas. Rosa lundlav är typisk art för </w:t>
      </w:r>
      <w:r>
        <w:rPr>
          <w:i/>
        </w:rPr>
        <w:t xml:space="preserve">9020 Nordlig ädellövskog, 9110 Näringsfattig bokskog, 9130 Näringsrik bokskog </w:t>
      </w:r>
      <w:r>
        <w:t>och</w:t>
      </w:r>
      <w:r>
        <w:rPr>
          <w:i/>
        </w:rPr>
        <w:t xml:space="preserve"> 9180 Ädellövskog i branter</w:t>
      </w:r>
      <w:r>
        <w:t xml:space="preserve"> (SLU Artdatabanken, 2024; Nitare &amp; Skogsstyrelsen, 2019).</w:t>
      </w:r>
    </w:p>
    <w:p>
      <w:r>
        <w:rPr>
          <w:b/>
        </w:rPr>
        <w:t>Röd pysslinglav (VU)</w:t>
      </w:r>
      <w:r>
        <w:t xml:space="preserve"> förekommer huvudsakligen på mycket gamla bokar i skogar med lång trädkontinuitet och hög luftfuktighet, men fynd finns även på bl.a. ek och lind. I Härjedalen växer den på en rönn. Värdträdens bark är tämligen grov och skrovlig. Lokalerna ligger alla i mycket skyddsvärda skogar med lång trädkontinuitet, hög luftfuktighet och med många andra rödlistade lavar. Denna typ av skogar nyskapas i princip inte alls. Bevara gammal bokskog och även skog som idag inte har kontinuitet men på lång sikt kommer att få det (SLU Artdatabanken, 2026).</w:t>
      </w:r>
    </w:p>
    <w:p>
      <w:r>
        <w:rPr>
          <w:b/>
        </w:rPr>
        <w:t>Bokkantlav (NT)</w:t>
      </w:r>
      <w:r>
        <w:t xml:space="preserve"> är en bra signalart för gammal bokskog med höga naturvärden där det normalt finns många andra ovanliga och rödlistade arter. Den förekommer huvudsakligen i gammal skogsmark där den föredrar halvöppna till skuggiga miljöer med hög luftfuktighet. Spara äldre bokbestånd i områden med lång kontinuitet av bok. Bokkantlav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Dunmossa (NT)</w:t>
      </w:r>
      <w:r>
        <w:t xml:space="preserve"> är en mycket bra signalart för källpåverkad skogsmark med höga naturvärden och är placerad högst upp i Skogsstyrelsens värdepyramid för bedömning av skog med höga naturvärden. Den växer i skuggiga kärr, särskilt källkärr och bäckstränder påverkade av ytligt grundvatten och tål inte uttorkning. Miljön är ofta något näringsrik och den återfinns särskilt i klibbalkärr, men även i örtrika barr- och blandsumpskogar påverkade av rörligt markvatten. Avverkning på lokalerna och reglering av vattenföring i små vattendrag i sydsvenska skogsområden kan riskera att snabbt minska antalet lokaler för arten. Arten har minskat kraftigt under de senaste åren och minskningstakten för den svenska populationen bedöms vara nära gränsvärdet för Sårbar (VU). Dunmossa är typisk art för </w:t>
      </w:r>
      <w:r>
        <w:rPr>
          <w:i/>
        </w:rPr>
        <w:t>9080 Lövsumpskog, 9750 Svämlövskog</w:t>
      </w:r>
      <w:r>
        <w:t xml:space="preserve"> och</w:t>
      </w:r>
      <w:r>
        <w:rPr>
          <w:i/>
        </w:rPr>
        <w:t xml:space="preserve"> 7160 Källor och källkärr</w:t>
      </w:r>
      <w:r>
        <w:t xml:space="preserve"> samt rödlistad som nära hotad (NT) på den europeiska rödlistan vilket medför ett internationellt ansvar för arten (SLU Artdatabanken, 2026; Nitare &amp; Skogsstyrelsen, 2019; IUCN, 2017).</w:t>
      </w:r>
    </w:p>
    <w:p>
      <w:r>
        <w:rPr>
          <w:b/>
        </w:rPr>
        <w:t>Gropticka (NT)</w:t>
      </w:r>
      <w:r>
        <w:t xml:space="preserve"> är en bra signalart som visar på skyddsvärda barrskogar i södra halvan av landet och kan betraktas som en sydlig ”urskogsindikator” eller gammelskogsindikator. Skogsbestånd där gropticka återfinns bör lämnas till fri utveckling. För att bibehålla arten i landet på sikt krävs att fler områden med gammal barrskog skyddas i Götaland och Svealand. Gropticka är typisk art för </w:t>
      </w:r>
      <w:r>
        <w:rPr>
          <w:i/>
        </w:rPr>
        <w:t>9010 Taiga</w:t>
      </w:r>
      <w:r>
        <w:t xml:space="preserve"> (SLU Artdatabanken, 2024; Nitare &amp; Skogsstyrelsen, 2019).</w:t>
      </w:r>
    </w:p>
    <w:p>
      <w:r>
        <w:rPr>
          <w:b/>
        </w:rPr>
        <w:t>Stiftklotterlav (NT)</w:t>
      </w:r>
      <w:r>
        <w:t xml:space="preserve"> är en mycket bra signalart som alltid signalerar skogsområden med höga naturvärden. Den föredrar skog med långvarig kontinuitet av gamla lövträd och permanent hög och jämn luftfuktighet. Arten missgynnas vid avverkning på eller i direkt anslutning till lokalerna. Naturskogsartade ädellövskogsbestånd med rika populationer av laven bör skyddas. Stiftklotterlav är typisk art för </w:t>
      </w:r>
      <w:r>
        <w:rPr>
          <w:i/>
        </w:rPr>
        <w:t xml:space="preserve">9110 Näringsfattig bokskog </w:t>
      </w:r>
      <w:r>
        <w:t>och</w:t>
      </w:r>
      <w:r>
        <w:rPr>
          <w:i/>
        </w:rPr>
        <w:t xml:space="preserve"> 9130 Näringsrik bokskog</w:t>
      </w:r>
      <w:r>
        <w:t xml:space="preserve"> (SLU Artdatabanken, 2024; Nitare &amp; Skogsstyrelsen, 2019).</w:t>
      </w:r>
    </w:p>
    <w:p>
      <w:r>
        <w:rPr>
          <w:b/>
        </w:rPr>
        <w:t>Violettgrå porlav (NT)</w:t>
      </w:r>
      <w:r>
        <w:t xml:space="preserve"> växer företrädesvis på stammar och grövre grenar av bok, men den förekommer även rätt ofta på tunna grenar av ek i hedekskog. Enstaka nutida fynd har även gjorts på klibbal, björk, hassel, avenbok, lind och rönn. Lokalerna utgörs oftast av gammal, sluten till halvöppen bokskog, men flera fynd är även gjorda i hedekskog. Kalavverkning utgör ett hot liksom ett stort inslag av gran i bokskogen. Åtminstone de rikligaste lokalerna bör skyddas (SLU Artdatabanken, 2026).</w:t>
      </w:r>
    </w:p>
    <w:p>
      <w:r>
        <w:rPr>
          <w:b/>
        </w:rPr>
        <w:t>Bokfjädermossa</w:t>
      </w:r>
      <w:r>
        <w:t xml:space="preserve"> växer främst i sluten bokskog på grova bokstammar. Arten är placerad högst upp i Skogsstyrelsens värdepyramid för bedömning av skog med höga naturvärden och signalerar överallt skogsmiljöer med höga naturvärden. Samtliga aktuella lokaler bör skyddas mot avverkning. Bokfjädermossa är typisk art för </w:t>
      </w:r>
      <w:r>
        <w:rPr>
          <w:i/>
        </w:rPr>
        <w:t xml:space="preserve">9020 Nordlig ädellövskog, 9110 Näringsfattig bokskog, 9130 Näringsrik bokskog, 9180 Ädellövskog i branter, 9160 Näringsrik ekskog </w:t>
      </w:r>
      <w:r>
        <w:t>och</w:t>
      </w:r>
      <w:r>
        <w:rPr>
          <w:i/>
        </w:rPr>
        <w:t xml:space="preserve"> 9190 Näringsfattig ekskog</w:t>
      </w:r>
      <w:r>
        <w:t xml:space="preserve"> (SLU Artdatabanken, 2024).</w:t>
      </w:r>
    </w:p>
    <w:p>
      <w:r>
        <w:rPr>
          <w:b/>
        </w:rPr>
        <w:t xml:space="preserve">Brandticka </w:t>
      </w:r>
      <w:r>
        <w:t>förekommer främst i olikåldrig fuktig granskog med mycket död ved, ofta i kärrkanter eller vid bäckar på lokaler med hög luftfuktighet. Växer huvudsakligen på grova granlågor, någon enstaka gång på tall, asp eller björk, och verkar knuten till ved som först rötats av klibbticka. Arten var tidigare rödlistad men en sentida ökning, bland annat i barkborreangripna granplanteringar i sydligaste Skandinavien har förändrat hotbilden. Populationen i landet kan påverkas negativt av kalavverkning och ett skogsbruk som innebär att mängden grova granlågor minskar. Även dikning och gallring som leder till ett torrare mikroklimat på växtplatserna kan ha negativ inverkan. För att säkerställa en gynnsam bevarandestatus på sikt bör områdesskydd av artens livsmiljöer upprättas på ett sätt som tryggar livskraftiga populationer på landskapsnivå. Vid skogsbruk bör grov död ved och skyddszoner vid kärr och vattendrag lämnas, och träd tillåtas åldras och dö på ett sätt som skapar kontinuerlig tillgång på livsmiljöer (SLU Artdatabanken, 2025).</w:t>
      </w:r>
    </w:p>
    <w:p>
      <w:r>
        <w:rPr>
          <w:b/>
        </w:rPr>
        <w:t xml:space="preserve">Dvärghäxört </w:t>
      </w:r>
      <w:r>
        <w:t xml:space="preserve">är en bra signalart som indikerar skogar med rörligt markvatten, långvarig beskuggning, hög luftfuktighet och näringsrik mark. Arten är mycket känslig för skogsbruksåtgärder och många växtplatser har i sen tid utplånats genom slutavverkning eller dikning. I södra Sverige på lokaler med riklig förekomst av häxörter kan den rödlistade fjärilen häxörtsbrokmal (NT) eftersökas. Larven lever i en vitaktig fläckmina i blad på häxört. Minan är lätt att hitta och den bästa metoden att fastställa förekomst av häxörtsbrokmal är således att söka efter minorna. Dvärghäxört är typisk art för </w:t>
      </w:r>
      <w:r>
        <w:rPr>
          <w:i/>
        </w:rPr>
        <w:t>9080 Lövsumpskog</w:t>
      </w:r>
      <w:r>
        <w:t xml:space="preserve"> (SLU Artdatabanken, 2024; Nitare &amp; Skogsstyrelsen, 2019).</w:t>
      </w:r>
    </w:p>
    <w:p>
      <w:r>
        <w:rPr>
          <w:b/>
        </w:rPr>
        <w:t>Havstulpanlav</w:t>
      </w:r>
      <w:r>
        <w:t xml:space="preserve"> är en mycket bra signalart som överallt indikerar skogsbestånd med höga naturvärden. Den växer främst på barken av lövträd i gamla, skuggiga och fuktiga skogsmiljöer, men förekommer relativt ofta även på äldre gran i sumpskog. Havstulpanlav är typisk art för </w:t>
      </w:r>
      <w:r>
        <w:rPr>
          <w:i/>
        </w:rPr>
        <w:t xml:space="preserve">9020 Nordlig ädellövskog, 9070 Trädklädd betesmark, 9110 Näringsfattig bokskog, 9130 Näringsrik bokskog, 9160 Näringsrik ekskog, 9180 Ädellövskog i branter </w:t>
      </w:r>
      <w:r>
        <w:t>och</w:t>
      </w:r>
      <w:r>
        <w:rPr>
          <w:i/>
        </w:rPr>
        <w:t xml:space="preserve"> 9190 Näringsfattig ekskog </w:t>
      </w:r>
      <w:r>
        <w:t>(Nitare &amp; Skogsstyrelsen, 2019; SLU Artdatabanken, 2025).</w:t>
      </w:r>
    </w:p>
    <w:p>
      <w:r>
        <w:rPr>
          <w:b/>
        </w:rPr>
        <w:t>Kambräken</w:t>
      </w:r>
      <w:r>
        <w:t xml:space="preserve"> är i mellersta och östra Sverige en bra signalart som indikerar fuktiga skogsmiljöer med höga naturvärden. Ofta rör det sig om reliktförekomster i kontinuitetsskogar på källpåverkade marker och marker med ytligt rörligt markvatten. Växten är i mellersta och östra Sverige starkt känslig för avverkning som kan medföra ökad frostrisk på växtplatsen liksom alla former av markavvattning och körskador. Kambräken är typisk art för </w:t>
      </w:r>
      <w:r>
        <w:rPr>
          <w:i/>
        </w:rPr>
        <w:t xml:space="preserve">9040 Fjällbjörkskog </w:t>
      </w:r>
      <w:r>
        <w:t xml:space="preserve">och </w:t>
      </w:r>
      <w:r>
        <w:rPr>
          <w:i/>
        </w:rPr>
        <w:t>7160 Källor och källkärr</w:t>
      </w:r>
      <w:r>
        <w:t xml:space="preserve"> (Nitare &amp; Skogsstyrelsen, 2019; SLU Artdatabanken, 2025).</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Trädporella </w:t>
      </w:r>
      <w:r>
        <w:t xml:space="preserve">är i stora delar av landet en utmärkt signal på skog med höga naturvärden och ofta påträffas många ovanliga och rödlistade arter på dess lokaler. Den växer huvudsakligen på grova ädellövträd i skuggiga och fuktiga miljöer, främst i slutna ädellövskogar och bergbranter med inslag av kalk- eller grönsten. Trädporella är typisk art för </w:t>
      </w:r>
      <w:r>
        <w:rPr>
          <w:i/>
        </w:rPr>
        <w:t xml:space="preserve">9020 Nordlig ädellövskog, 9110 Näringsfattig bokskog, 9130 Näringsrik bokskog, 9160 Näringsrik ekskog, 9180 Ädellövskog i branter </w:t>
      </w:r>
      <w:r>
        <w:t xml:space="preserve">och </w:t>
      </w:r>
      <w:r>
        <w:rPr>
          <w:i/>
        </w:rPr>
        <w:t xml:space="preserve">9190 Näringsfattig ekskog </w:t>
      </w:r>
      <w:r>
        <w:t>(Nitare &amp; Skogsstyrelsen, 2019; SLU Artdatabanken, 2025).</w:t>
      </w:r>
    </w:p>
    <w:p>
      <w:r>
        <w:rPr>
          <w:b/>
        </w:rPr>
        <w:t>Havsörn (§4)</w:t>
      </w:r>
      <w:r>
        <w:t xml:space="preserve"> omfattas av bilaga 1 EU:s fågeldirektiv. Skyddandet av befintliga bon måste upprätthållas och i samband med skogsavverkning bör en skyddszon på minst 100 meters radie runt boplatsen lämnas intakt. Under häckningsperioden (1 januari till 15 augusti) är havsörnen störningskänslig och inga skogsbruksåtgärder eller annan störande verksamhet får förekomma närmare än 500 m från boet under den tiden. För att åstadkomma en succession av lämpliga boträd för kommande generationer av havsörnar behöver ett betydligt större antal s.k. evighetsträd sparas vid avverkningar redan idag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samrådsanmälda skogen: rosa lundlav (VU, T), bokkantlav (NT, T), bokvårtlav (NT, T), dunmossa (NT, T), gropticka (NT, T), stiftklotterlav (NT, T), bokfjädermossa (S, T), dvärghäxört (S, T), havstulpanlav (S, T), kambräken (S, T), platt fjädermossa (S, T) och trädporella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Havsörn – ekologi samt krav på livsmiljön</w:t>
      </w:r>
    </w:p>
    <w:p>
      <w:r>
        <w:t>Havsörn är fridlyst enligt 4§ artskyddsförordningen och upptagen i bilaga 1 EU:s fågeldirektiv. Havsörnen häckar i anslutning till skärgårdar, kuster, sjöar och vattendrag, ofta på öar men ibland även ganska långt från vatten. I svenska kustområden varierar medelavståndet mellan etablerade par från ca 13 km till under 5 km, mest beroende på bytestillgänglighet; minsta avstånd mellan samtidigt bebodda bon i vårt land är ca 1,5 km. Ofta har ett havsörnspar flera olika bon som kan användas omväxlande (SLU Artdatabanken, 2026; Skogsstyrelsen, 2016).</w:t>
      </w:r>
    </w:p>
    <w:p>
      <w:r>
        <w:t>Boet byggs nästan uteslutande i träd, oftast tallar. Häckar sällsynt även på klipphyllor eller direkt på marken. Boet placeras oftast i trädets övre del och kan bli mycket stort, vilket ställer stora krav på boträdet. Trädet måste ha en stark, bärande krona med lämpliga grova grenar, vilket utvecklas först när trädet har uppnått en hög ålder. Genomsnittsåldern hos botallar vid svenska Ostkusten under 1970- och 80-talet var 160 år (från 100 till 350 år) men har sannolikt redan nu sjunkit betydligt genom en brist på gamla träd. Frekvensen nybyggda bon i för svaga träd där boet rasat under häckningen har ökat markant under senare år i Syd- och Mellansverige. I Lappland var boträden i snitt 350 år (200 – ca 600 år). Mot bakgrund av de lägsta uppmätta åldrarna hos dessa fungerande boträd utgör den sjunkande omloppstiden vid slutavverkningar i Sverige ett hot – det kommer inte att räcka med att spara överståndare vid slutavverkningar av kanske högst 70-åriga bestånd i framtiden (SLU Artdatabanken, 2026; Skogsstyrelsen, 2016).</w:t>
      </w:r>
    </w:p>
    <w:p>
      <w:r>
        <w:t>Skyddandet av befintliga bon måste upprätthållas och i samband med skogsavverkning ska befintliga boträd sparas med en lämpligt avgränsad skyddszon runtom. Vid slutavverkning bör en skyddszon på 100 meters radie runt boplatsen lämnas intakt. Under häckningsperioden (1 januari till 15 augusti) är havsörnen störningskänslig och inga skogsbruksåtgärder eller annan störande verksamhet får förekomma närmare än 500 m från boet under den tiden. (SLU Artdatabanken, 2026; Skogsstyrelsen, 2016).</w:t>
      </w:r>
    </w:p>
    <w:p>
      <w:r>
        <w:t>För att garantera möjligheter till häckning även i framtiden bör ett nätverk av häckningsområden skyddas inom artens hela naturliga utbredningsområde i landet. Havsörnen är upptagen bland de arter som enligt fågeldirektivet/habitatdirektivet har ett sådant gemenskapsintresse inom EU att särskilda skydds- eller bevarandeområden behöver utses (Miljöbalken, Bilagan till Artskyddsförordningen 1998:179, reviderad 2001). Arten är beroende av grova träd för placering av sina stora risbon och detta kan bli en begränsande faktor kommande 30 år (tre generationer). För att åstadkomma en succession av lämpliga boträd för kommande generationer av havsörnar behöver ett betydligt större antal s.k. evighetsträd sparas vid avverkningar redan idag. (SLU Artdatabanken, 2026).</w:t>
      </w:r>
    </w:p>
    <w:p>
      <w:pPr>
        <w:pStyle w:val="Heading2"/>
      </w:pPr>
      <w:r>
        <w:t>Referenser – havsörn</w:t>
      </w:r>
    </w:p>
    <w:p>
      <w:r>
        <w:t xml:space="preserve">Skogsstyrelsen, 2016. </w:t>
      </w:r>
      <w:r>
        <w:rPr>
          <w:i/>
        </w:rPr>
        <w:t xml:space="preserve">Vägledning för hänsyn till havsörn.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