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2726-2025 i Ängelholms kommun</w:t>
      </w:r>
    </w:p>
    <w:p>
      <w:r>
        <w:t>Detta klagomål behandlar höga naturvärden i samrådsanmälan S 2726-2025 i Ängelholms kommun som inkom 2025-10-01 och omfattar 131,7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S 2726-2025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6246376, E 378261 i SWEREF 99 TM.</w:t>
      </w:r>
    </w:p>
    <w:p>
      <w:r>
        <w:t>I och inom 24 meter från samrådsanmälan finns fynd av 23 naturvårdsarter, varav 6 är rödlistade, 4 är fridlysta, 14 är typiska (T) och 14 är signalarter (S): liten ädellav (EN, T), bokkantlav (NT, T), bokvårtlav (NT, T), grönsångare (NT, §4), mindre tåtelsmygare (NT), skånsk sprötmossa (NT), blåmossa (S, T), bågpraktmossa (S, T), dvärghäxört (S, T), fällmossa (S, T), kambräken (S, T), klippfrullania (S, T), källmossa (S), lönnlav (S), platt fjädermossa (S, T), skuggmossa (S, T), stor knopplav (S, T), stubbspretmossa (S, T), trädporella (S, T), västlig hakmossa (S), vanlig padda (§6),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Liten ädellav (EN) </w:t>
      </w:r>
      <w:r>
        <w:t xml:space="preserve">är en starkt hotad och mycket krävande lav som nästan enbart växer på gamla träd i bokskogar och annan ädellövskog med lång kontinuitet. Gallringsavverkningar av gamla grova eller senvuxna bokar är idag ett allvarligt hot. Arten är placerad högst upp i Skogsstyrelsens värdepyramid för bedömning av skog med höga naturvärden och gamla bokskogar där laven förekommer bör skyddas. Liten ädellav är typisk art för </w:t>
      </w:r>
      <w:r>
        <w:rPr>
          <w:i/>
        </w:rPr>
        <w:t xml:space="preserve">9110 Näringsfattig bokskog </w:t>
      </w:r>
      <w:r>
        <w:t>och</w:t>
      </w:r>
      <w:r>
        <w:rPr>
          <w:i/>
        </w:rPr>
        <w:t xml:space="preserve"> 9130 Näringsrik bokskog </w:t>
      </w:r>
      <w:r>
        <w:t>(SLU Artdatabanken, 2024; Nitare &amp; Skogsstyrelsen, 2019).</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Skånsk sprötmossa (NT)</w:t>
      </w:r>
      <w:r>
        <w:t xml:space="preserve"> är en bladmossa med få lokaler i Sverige, samtliga belägna i Skåne på kalkhaltig jord i lövskogsbranter och i skuggade raviner. Arten är känslig för förändringar som innebär ökat ljusinsläpp och uttorkning av markskiktet. Avverkningar bör undvikas, inte minst som mossan ofta växer i branta sluttningar som är mycket känsliga för erosion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