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3159-2024 i Hässleholms kommun</w:t>
      </w:r>
    </w:p>
    <w:p>
      <w:r>
        <w:t>Denna tillsynsbegäran behandlar höga naturvärden i samrådsanmälan S 3159-2024 i Hässleholms kommun som inkom 2024-08-19 och omfattar 2,2 ha.</w:t>
      </w:r>
    </w:p>
    <w:p>
      <w:pPr>
        <w:pStyle w:val="Caption"/>
      </w:pPr>
      <w:r>
        <w:drawing>
          <wp:inline xmlns:a="http://schemas.openxmlformats.org/drawingml/2006/main" xmlns:pic="http://schemas.openxmlformats.org/drawingml/2006/picture">
            <wp:extent cx="5486400" cy="4427461"/>
            <wp:docPr id="1" name="Picture 1"/>
            <wp:cNvGraphicFramePr>
              <a:graphicFrameLocks noChangeAspect="1"/>
            </wp:cNvGraphicFramePr>
            <a:graphic>
              <a:graphicData uri="http://schemas.openxmlformats.org/drawingml/2006/picture">
                <pic:pic>
                  <pic:nvPicPr>
                    <pic:cNvPr id="0" name="S 3159-2024 karta.png"/>
                    <pic:cNvPicPr/>
                  </pic:nvPicPr>
                  <pic:blipFill>
                    <a:blip r:embed="rId16"/>
                    <a:stretch>
                      <a:fillRect/>
                    </a:stretch>
                  </pic:blipFill>
                  <pic:spPr>
                    <a:xfrm>
                      <a:off x="0" y="0"/>
                      <a:ext cx="5486400" cy="44274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6205948, E 421161 i SWEREF 99 TM.</w:t>
      </w:r>
    </w:p>
    <w:p>
      <w:r>
        <w:t>I samrådsanmälan finns fynd av 6 naturvårdsarter, varav 2 är rödlistade, 2 är fridlysta, 6 är typiska (T) och 3 är signalarter (S): bokvårtlav (NT, T), mindre hackspett (NT, T, §4), klippfrullania (S, T), rostfläck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bokvårtlav (NT, T), mindre hackspett (NT, T, §4), klippfrullania (S, T), rostfläck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