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18969-2024 i Hässleholms kommun</w:t>
      </w:r>
    </w:p>
    <w:p>
      <w:r>
        <w:t>Detta dokument behandlar höga naturvärden i avverkningsanmälan A 18969-2024 i Hässleholms kommun. Denna avverkningsanmälan inkom 2024-05-15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vedlavklubba (VU), ädelkronlav (VU), violettgrå porlav (NT), gulnål (S), havstulpanlav (S), kornig nållav (S) och vanlig snok (§6).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8969-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6233975, E 427452 i SWEREF 99 TM.</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Vedlavklubba (VU)</w:t>
      </w:r>
      <w:r>
        <w:t xml:space="preserve"> är en sällsynt art som växer på lågor av lövträd, helst asp och bok. Den förekommer huvudsakligen i skogsmiljöer med rik tillgång på grov död och ved, oftast i skogar med hög luftfuktighet som inte har kalavverkats. Svampen är sannolikt mycket känslig för all form av avverkning eller dränering som medför att växtplatsen får ett torrare mikroklimat (SLU Artdatabanken, 2024; Nitare &amp; Skogsstyrelsen, 2019).</w:t>
      </w:r>
    </w:p>
    <w:p>
      <w:r>
        <w:rPr>
          <w:b/>
        </w:rPr>
        <w:t>Violettgrå porlav (NT)</w:t>
      </w:r>
      <w:r>
        <w:t xml:space="preserve"> växer företrädesvis på stammar och grövre grenar av bok, men den förekommer även rätt ofta på tunna grenar av ek i hedekskog. Enstaka nutida fynd har även gjorts på klibbal, björk, hassel, avenbok, lind och rönn. Lokalerna utgörs oftast av gammal, sluten till halvöppen bokskog, men flera fynd är även gjorda i hedekskog. Kalavverkning utgör ett hot liksom ett stort inslag av gran i bokskogen. Åtminstone de rikligaste lokalerna bör skyddas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